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0FC877" w14:textId="6B25F6BC" w:rsidR="00713465" w:rsidRDefault="008518F1" w:rsidP="00E644E6">
      <w:pPr>
        <w:pStyle w:val="Heading1"/>
        <w:rPr>
          <w:rStyle w:val="eop"/>
          <w:rFonts w:ascii="Calibri" w:hAnsi="Calibri" w:cs="Calibri"/>
        </w:rPr>
      </w:pPr>
      <w:r>
        <w:rPr>
          <w:rStyle w:val="eop"/>
          <w:rFonts w:ascii="Calibri" w:hAnsi="Calibri" w:cs="Calibri"/>
        </w:rPr>
        <w:t>Lan</w:t>
      </w:r>
      <w:r w:rsidR="00C524F9" w:rsidRPr="00E644E6">
        <w:rPr>
          <w:rStyle w:val="eop"/>
          <w:rFonts w:ascii="Calibri" w:hAnsi="Calibri" w:cs="Calibri"/>
        </w:rPr>
        <w:t xml:space="preserve">caster University </w:t>
      </w:r>
      <w:r w:rsidR="00DE2660">
        <w:rPr>
          <w:rStyle w:val="eop"/>
          <w:rFonts w:ascii="Calibri" w:hAnsi="Calibri" w:cs="Calibri"/>
        </w:rPr>
        <w:t>p</w:t>
      </w:r>
      <w:r w:rsidR="00713465" w:rsidRPr="00E644E6">
        <w:rPr>
          <w:rStyle w:val="eop"/>
          <w:rFonts w:ascii="Calibri" w:hAnsi="Calibri" w:cs="Calibri"/>
        </w:rPr>
        <w:t xml:space="preserve">rinciples </w:t>
      </w:r>
      <w:r w:rsidR="00E644E6" w:rsidRPr="00E644E6">
        <w:rPr>
          <w:rStyle w:val="eop"/>
          <w:rFonts w:ascii="Calibri" w:hAnsi="Calibri" w:cs="Calibri"/>
        </w:rPr>
        <w:t>for a</w:t>
      </w:r>
      <w:r w:rsidR="00DE2660">
        <w:rPr>
          <w:rStyle w:val="eop"/>
          <w:rFonts w:ascii="Calibri" w:hAnsi="Calibri" w:cs="Calibri"/>
        </w:rPr>
        <w:t>n initial</w:t>
      </w:r>
      <w:r w:rsidR="004020FE" w:rsidRPr="00E644E6">
        <w:rPr>
          <w:rStyle w:val="eop"/>
          <w:rFonts w:ascii="Calibri" w:hAnsi="Calibri" w:cs="Calibri"/>
        </w:rPr>
        <w:t xml:space="preserve"> </w:t>
      </w:r>
      <w:r w:rsidR="007C2F24">
        <w:rPr>
          <w:rStyle w:val="eop"/>
          <w:rFonts w:ascii="Calibri" w:hAnsi="Calibri" w:cs="Calibri"/>
        </w:rPr>
        <w:t xml:space="preserve">internal </w:t>
      </w:r>
      <w:r w:rsidR="004020FE" w:rsidRPr="00E644E6">
        <w:rPr>
          <w:rStyle w:val="eop"/>
          <w:rFonts w:ascii="Calibri" w:hAnsi="Calibri" w:cs="Calibri"/>
        </w:rPr>
        <w:t>REF</w:t>
      </w:r>
      <w:r w:rsidR="00713465" w:rsidRPr="00E644E6">
        <w:rPr>
          <w:rStyle w:val="eop"/>
          <w:rFonts w:ascii="Calibri" w:hAnsi="Calibri" w:cs="Calibri"/>
        </w:rPr>
        <w:t xml:space="preserve"> </w:t>
      </w:r>
      <w:r w:rsidR="00F636B7" w:rsidRPr="00E644E6">
        <w:rPr>
          <w:rStyle w:val="eop"/>
          <w:rFonts w:ascii="Calibri" w:hAnsi="Calibri" w:cs="Calibri"/>
        </w:rPr>
        <w:t>Stocktake</w:t>
      </w:r>
    </w:p>
    <w:p w14:paraId="10873E2A" w14:textId="5E8F843A" w:rsidR="0065190F" w:rsidRPr="0065190F" w:rsidRDefault="0065190F" w:rsidP="0065190F">
      <w:pPr>
        <w:pStyle w:val="Heading2"/>
      </w:pPr>
      <w:r>
        <w:t>Overview</w:t>
      </w:r>
    </w:p>
    <w:p w14:paraId="1AB297FD" w14:textId="77777777" w:rsidR="00C524F9" w:rsidRPr="00E644E6" w:rsidRDefault="00C524F9" w:rsidP="00C524F9">
      <w:pPr>
        <w:jc w:val="both"/>
        <w:rPr>
          <w:rFonts w:ascii="Calibri" w:eastAsia="Times New Roman" w:hAnsi="Calibri" w:cs="Calibri"/>
          <w:color w:val="212121"/>
        </w:rPr>
      </w:pPr>
      <w:r w:rsidRPr="00E644E6">
        <w:rPr>
          <w:rFonts w:ascii="Calibri" w:hAnsi="Calibri" w:cs="Calibri"/>
        </w:rPr>
        <w:t>The next Research Excellence Framework (REF 2029) submission will be in November 2028, with the results due in December 2029. The four main REF panels sub-divided into 34 disciplinary based Units of Assessment (UOA) remain from REF 2021. The REF panels, made up from national and international experts, will assess the quality of research outputs, research impact and research environment submitted by UK universities. Summary results in the form of a quality profile are published at the level of the UOA for each university that enters a submission to the REF.</w:t>
      </w:r>
    </w:p>
    <w:p w14:paraId="507D7FA7" w14:textId="61E3F5EC" w:rsidR="00C524F9" w:rsidRPr="00E644E6" w:rsidRDefault="00C524F9" w:rsidP="00C524F9">
      <w:pPr>
        <w:spacing w:after="0" w:line="240" w:lineRule="auto"/>
        <w:rPr>
          <w:rFonts w:ascii="Calibri" w:eastAsia="Times New Roman" w:hAnsi="Calibri" w:cs="Calibri"/>
          <w:color w:val="212121"/>
        </w:rPr>
      </w:pPr>
      <w:r w:rsidRPr="5B1D2C85">
        <w:rPr>
          <w:rFonts w:ascii="Calibri" w:hAnsi="Calibri" w:cs="Calibri"/>
        </w:rPr>
        <w:t>The allocation of Research England’s annual QR block grant (Quality Related income) is driven by the results of the REF and QR funding is worth approx. £</w:t>
      </w:r>
      <w:r w:rsidR="00863B0F" w:rsidRPr="5B1D2C85">
        <w:rPr>
          <w:rFonts w:ascii="Calibri" w:hAnsi="Calibri" w:cs="Calibri"/>
        </w:rPr>
        <w:t>26</w:t>
      </w:r>
      <w:r w:rsidRPr="5B1D2C85">
        <w:rPr>
          <w:rFonts w:ascii="Calibri" w:hAnsi="Calibri" w:cs="Calibri"/>
        </w:rPr>
        <w:t xml:space="preserve"> million annually to Lancaster. This QR income is part of the government’s dual support for research, supporting our research activity by enabling research that is not externally funded as well </w:t>
      </w:r>
      <w:r w:rsidR="48EB3040" w:rsidRPr="5B1D2C85">
        <w:rPr>
          <w:rFonts w:ascii="Calibri" w:hAnsi="Calibri" w:cs="Calibri"/>
        </w:rPr>
        <w:t xml:space="preserve">as </w:t>
      </w:r>
      <w:r w:rsidRPr="5B1D2C85">
        <w:rPr>
          <w:rFonts w:ascii="Calibri" w:hAnsi="Calibri" w:cs="Calibri"/>
        </w:rPr>
        <w:t xml:space="preserve">contributing to the shortfall on UKRI funded projects.  </w:t>
      </w:r>
    </w:p>
    <w:p w14:paraId="79971317" w14:textId="77777777" w:rsidR="00C524F9" w:rsidRPr="00E644E6" w:rsidRDefault="00C524F9" w:rsidP="00C524F9">
      <w:pPr>
        <w:spacing w:after="0" w:line="240" w:lineRule="auto"/>
        <w:rPr>
          <w:rFonts w:ascii="Calibri" w:eastAsia="Times New Roman" w:hAnsi="Calibri" w:cs="Calibri"/>
          <w:color w:val="212121"/>
        </w:rPr>
      </w:pPr>
    </w:p>
    <w:p w14:paraId="33C44900" w14:textId="77777777" w:rsidR="00C524F9" w:rsidRPr="00E644E6" w:rsidRDefault="00C524F9" w:rsidP="00C524F9">
      <w:pPr>
        <w:jc w:val="both"/>
        <w:rPr>
          <w:rFonts w:ascii="Calibri" w:hAnsi="Calibri" w:cs="Calibri"/>
        </w:rPr>
      </w:pPr>
      <w:r w:rsidRPr="00E644E6">
        <w:rPr>
          <w:rFonts w:ascii="Calibri" w:hAnsi="Calibri" w:cs="Calibri"/>
        </w:rPr>
        <w:t>Given the value of the REF exercise, it is important that we are well prepared to ensure our submission properly represents the research excellence at our university.</w:t>
      </w:r>
    </w:p>
    <w:p w14:paraId="360BF227" w14:textId="3D186768" w:rsidR="00E644E6" w:rsidRDefault="00E644E6" w:rsidP="00E644E6">
      <w:pPr>
        <w:pStyle w:val="Heading2"/>
      </w:pPr>
      <w:r>
        <w:t xml:space="preserve">Stocktake </w:t>
      </w:r>
    </w:p>
    <w:p w14:paraId="62746195" w14:textId="142579AA" w:rsidR="00A46380" w:rsidRPr="00BD7557" w:rsidRDefault="00F37418" w:rsidP="00A46380">
      <w:pPr>
        <w:rPr>
          <w:rFonts w:ascii="Arial" w:hAnsi="Arial" w:cs="Arial"/>
          <w:sz w:val="22"/>
          <w:szCs w:val="22"/>
        </w:rPr>
      </w:pPr>
      <w:r w:rsidRPr="0E358FE3">
        <w:rPr>
          <w:rFonts w:ascii="Calibri" w:hAnsi="Calibri" w:cs="Calibri"/>
        </w:rPr>
        <w:t xml:space="preserve">The first </w:t>
      </w:r>
      <w:r w:rsidR="348F218A" w:rsidRPr="0E358FE3">
        <w:rPr>
          <w:rFonts w:ascii="Calibri" w:hAnsi="Calibri" w:cs="Calibri"/>
        </w:rPr>
        <w:t xml:space="preserve">internal </w:t>
      </w:r>
      <w:r w:rsidRPr="0E358FE3">
        <w:rPr>
          <w:rFonts w:ascii="Calibri" w:hAnsi="Calibri" w:cs="Calibri"/>
        </w:rPr>
        <w:t xml:space="preserve">stocktake for REF 2029 will take place between May and September 2024. </w:t>
      </w:r>
      <w:r w:rsidR="00B3160D">
        <w:rPr>
          <w:rFonts w:ascii="Calibri" w:hAnsi="Calibri" w:cs="Calibri"/>
        </w:rPr>
        <w:t xml:space="preserve">It is important to begin REF preparations now as </w:t>
      </w:r>
      <w:r w:rsidR="00CA7154">
        <w:rPr>
          <w:rFonts w:ascii="Calibri" w:hAnsi="Calibri" w:cs="Calibri"/>
        </w:rPr>
        <w:t>it allows us to assess where our outputs are currently rated and give chance to offer support to</w:t>
      </w:r>
      <w:r w:rsidR="003C0BE3">
        <w:rPr>
          <w:rFonts w:ascii="Calibri" w:hAnsi="Calibri" w:cs="Calibri"/>
        </w:rPr>
        <w:t xml:space="preserve"> encourage higher rated outputs. </w:t>
      </w:r>
      <w:r w:rsidR="007C2F24" w:rsidRPr="0E358FE3">
        <w:rPr>
          <w:rFonts w:ascii="Calibri" w:hAnsi="Calibri" w:cs="Calibri"/>
        </w:rPr>
        <w:t xml:space="preserve">It is noted that activity may have already started to take place and therefore this initial REF </w:t>
      </w:r>
      <w:r w:rsidR="007C2F24" w:rsidRPr="00BD7557">
        <w:rPr>
          <w:rFonts w:ascii="Calibri" w:hAnsi="Calibri" w:cs="Calibri"/>
        </w:rPr>
        <w:t xml:space="preserve">stocktake does not have an expectation that </w:t>
      </w:r>
      <w:r w:rsidR="02C382D5" w:rsidRPr="00BD7557">
        <w:rPr>
          <w:rFonts w:ascii="Calibri" w:hAnsi="Calibri" w:cs="Calibri"/>
        </w:rPr>
        <w:t xml:space="preserve">any </w:t>
      </w:r>
      <w:r w:rsidR="007C2F24" w:rsidRPr="00BD7557">
        <w:rPr>
          <w:rFonts w:ascii="Calibri" w:hAnsi="Calibri" w:cs="Calibri"/>
        </w:rPr>
        <w:t>processes already underway should be restarted. The stocktake is expected to build on these initial foundations and not replace</w:t>
      </w:r>
      <w:r w:rsidR="0072517E" w:rsidRPr="00BD7557">
        <w:rPr>
          <w:rFonts w:ascii="Calibri" w:hAnsi="Calibri" w:cs="Calibri"/>
        </w:rPr>
        <w:t xml:space="preserve"> them</w:t>
      </w:r>
      <w:r w:rsidR="007C2F24" w:rsidRPr="00BD7557">
        <w:rPr>
          <w:rFonts w:ascii="Calibri" w:hAnsi="Calibri" w:cs="Calibri"/>
        </w:rPr>
        <w:t xml:space="preserve">. </w:t>
      </w:r>
      <w:r w:rsidR="0072517E" w:rsidRPr="00BD7557">
        <w:rPr>
          <w:rFonts w:ascii="Calibri" w:hAnsi="Calibri" w:cs="Calibri"/>
        </w:rPr>
        <w:t xml:space="preserve">We have designed the stocktake to be conducted in a defined </w:t>
      </w:r>
      <w:proofErr w:type="gramStart"/>
      <w:r w:rsidR="0072517E" w:rsidRPr="00BD7557">
        <w:rPr>
          <w:rFonts w:ascii="Calibri" w:hAnsi="Calibri" w:cs="Calibri"/>
        </w:rPr>
        <w:t>period of time</w:t>
      </w:r>
      <w:proofErr w:type="gramEnd"/>
      <w:r w:rsidR="0072517E" w:rsidRPr="00BD7557">
        <w:rPr>
          <w:rFonts w:ascii="Calibri" w:hAnsi="Calibri" w:cs="Calibri"/>
        </w:rPr>
        <w:t xml:space="preserve"> and with minimal burden.</w:t>
      </w:r>
      <w:r w:rsidR="0072401A" w:rsidRPr="00BD7557">
        <w:rPr>
          <w:rFonts w:ascii="Calibri" w:hAnsi="Calibri" w:cs="Calibri"/>
        </w:rPr>
        <w:t xml:space="preserve"> </w:t>
      </w:r>
      <w:r w:rsidR="009F7212" w:rsidRPr="00BD7557">
        <w:rPr>
          <w:rFonts w:ascii="Calibri" w:hAnsi="Calibri" w:cs="Calibri"/>
        </w:rPr>
        <w:t>T</w:t>
      </w:r>
      <w:r w:rsidR="009F7212" w:rsidRPr="00BD7557">
        <w:rPr>
          <w:rStyle w:val="cf01"/>
          <w:rFonts w:ascii="Calibri" w:hAnsi="Calibri" w:cs="Calibri"/>
          <w:sz w:val="24"/>
          <w:szCs w:val="24"/>
        </w:rPr>
        <w:t xml:space="preserve">he overall objective for REF 2029 is to perform to our highest ability. The Stocktake is intended to assess the current position of Lancaster outputs and establish those likely to be high quality, with the aim of understanding the qualities a 4* output. This knowledge can be used to ensure future outputs include these quality </w:t>
      </w:r>
      <w:r w:rsidR="00BD7557" w:rsidRPr="00BD7557">
        <w:rPr>
          <w:rStyle w:val="cf01"/>
          <w:rFonts w:ascii="Calibri" w:hAnsi="Calibri" w:cs="Calibri"/>
          <w:sz w:val="24"/>
          <w:szCs w:val="24"/>
        </w:rPr>
        <w:t>characteristics.</w:t>
      </w:r>
      <w:r w:rsidR="00BD7557" w:rsidRPr="00BD7557">
        <w:rPr>
          <w:rFonts w:ascii="Calibri" w:hAnsi="Calibri" w:cs="Calibri"/>
        </w:rPr>
        <w:t xml:space="preserve"> Where</w:t>
      </w:r>
      <w:r w:rsidR="00FE4D7C" w:rsidRPr="00BD7557">
        <w:rPr>
          <w:rFonts w:ascii="Calibri" w:hAnsi="Calibri" w:cs="Calibri"/>
        </w:rPr>
        <w:t xml:space="preserve"> possible </w:t>
      </w:r>
      <w:hyperlink r:id="rId5">
        <w:r w:rsidR="00FE4D7C" w:rsidRPr="00BD7557">
          <w:rPr>
            <w:rStyle w:val="Hyperlink"/>
            <w:rFonts w:ascii="Calibri" w:hAnsi="Calibri" w:cs="Calibri"/>
          </w:rPr>
          <w:t>PURE</w:t>
        </w:r>
      </w:hyperlink>
      <w:r w:rsidR="00FE4D7C" w:rsidRPr="00BD7557">
        <w:rPr>
          <w:rFonts w:ascii="Calibri" w:hAnsi="Calibri" w:cs="Calibri"/>
        </w:rPr>
        <w:t xml:space="preserve"> must be used to propose outputs</w:t>
      </w:r>
      <w:r w:rsidR="549D8628" w:rsidRPr="00BD7557">
        <w:rPr>
          <w:rFonts w:ascii="Calibri" w:hAnsi="Calibri" w:cs="Calibri"/>
        </w:rPr>
        <w:t xml:space="preserve"> for review</w:t>
      </w:r>
      <w:r w:rsidR="00FE4D7C" w:rsidRPr="00BD7557">
        <w:rPr>
          <w:rFonts w:ascii="Calibri" w:hAnsi="Calibri" w:cs="Calibri"/>
        </w:rPr>
        <w:t xml:space="preserve"> and will </w:t>
      </w:r>
      <w:r w:rsidR="00AC737C" w:rsidRPr="00BD7557">
        <w:rPr>
          <w:rFonts w:ascii="Calibri" w:hAnsi="Calibri" w:cs="Calibri"/>
        </w:rPr>
        <w:t>include</w:t>
      </w:r>
      <w:r w:rsidR="00FE4D7C" w:rsidRPr="00BD7557">
        <w:rPr>
          <w:rFonts w:ascii="Calibri" w:hAnsi="Calibri" w:cs="Calibri"/>
        </w:rPr>
        <w:t xml:space="preserve"> the following principles</w:t>
      </w:r>
      <w:r w:rsidR="00544B7F" w:rsidRPr="00BD7557">
        <w:rPr>
          <w:rFonts w:ascii="Calibri" w:hAnsi="Calibri" w:cs="Calibri"/>
        </w:rPr>
        <w:t>:</w:t>
      </w:r>
    </w:p>
    <w:p w14:paraId="1C063CF2" w14:textId="2423085D" w:rsidR="003F394E" w:rsidRPr="00E644E6" w:rsidRDefault="00024A42" w:rsidP="007146A9">
      <w:pPr>
        <w:pStyle w:val="Heading2"/>
        <w:rPr>
          <w:rFonts w:ascii="Calibri" w:hAnsi="Calibri" w:cs="Calibri"/>
        </w:rPr>
      </w:pPr>
      <w:r w:rsidRPr="00E644E6">
        <w:rPr>
          <w:rFonts w:ascii="Calibri" w:hAnsi="Calibri" w:cs="Calibri"/>
        </w:rPr>
        <w:t>Principles of f</w:t>
      </w:r>
      <w:r w:rsidR="00564D17" w:rsidRPr="00E644E6">
        <w:rPr>
          <w:rFonts w:ascii="Calibri" w:hAnsi="Calibri" w:cs="Calibri"/>
        </w:rPr>
        <w:t>irst</w:t>
      </w:r>
      <w:r w:rsidR="00544B7F">
        <w:rPr>
          <w:rFonts w:ascii="Calibri" w:hAnsi="Calibri" w:cs="Calibri"/>
        </w:rPr>
        <w:t xml:space="preserve"> internal</w:t>
      </w:r>
      <w:r w:rsidR="00564D17" w:rsidRPr="00E644E6">
        <w:rPr>
          <w:rFonts w:ascii="Calibri" w:hAnsi="Calibri" w:cs="Calibri"/>
        </w:rPr>
        <w:t xml:space="preserve"> s</w:t>
      </w:r>
      <w:r w:rsidR="003F394E" w:rsidRPr="00E644E6">
        <w:rPr>
          <w:rFonts w:ascii="Calibri" w:hAnsi="Calibri" w:cs="Calibri"/>
        </w:rPr>
        <w:t>tocktake for REF</w:t>
      </w:r>
      <w:r w:rsidR="00E42709" w:rsidRPr="00E644E6">
        <w:rPr>
          <w:rFonts w:ascii="Calibri" w:hAnsi="Calibri" w:cs="Calibri"/>
        </w:rPr>
        <w:t xml:space="preserve"> </w:t>
      </w:r>
      <w:r w:rsidR="006274AC" w:rsidRPr="00E644E6">
        <w:rPr>
          <w:rFonts w:ascii="Calibri" w:hAnsi="Calibri" w:cs="Calibri"/>
        </w:rPr>
        <w:t>20</w:t>
      </w:r>
      <w:r w:rsidR="003F394E" w:rsidRPr="00E644E6">
        <w:rPr>
          <w:rFonts w:ascii="Calibri" w:hAnsi="Calibri" w:cs="Calibri"/>
        </w:rPr>
        <w:t>2</w:t>
      </w:r>
      <w:r w:rsidRPr="00E644E6">
        <w:rPr>
          <w:rFonts w:ascii="Calibri" w:hAnsi="Calibri" w:cs="Calibri"/>
        </w:rPr>
        <w:t>9</w:t>
      </w:r>
      <w:r w:rsidR="0042171D" w:rsidRPr="00E644E6">
        <w:rPr>
          <w:rFonts w:ascii="Calibri" w:hAnsi="Calibri" w:cs="Calibri"/>
        </w:rPr>
        <w:t>.</w:t>
      </w:r>
    </w:p>
    <w:p w14:paraId="6EE26DA0" w14:textId="02DD2714" w:rsidR="008A416E" w:rsidRPr="00E644E6" w:rsidRDefault="008A416E" w:rsidP="0E358FE3">
      <w:pPr>
        <w:pStyle w:val="ListParagraph"/>
        <w:numPr>
          <w:ilvl w:val="0"/>
          <w:numId w:val="10"/>
        </w:numPr>
        <w:spacing w:after="0" w:line="240" w:lineRule="auto"/>
        <w:rPr>
          <w:rFonts w:ascii="Calibri" w:eastAsia="Times New Roman" w:hAnsi="Calibri" w:cs="Calibri"/>
          <w:color w:val="212121"/>
        </w:rPr>
      </w:pPr>
      <w:r w:rsidRPr="0E358FE3">
        <w:rPr>
          <w:rFonts w:ascii="Calibri" w:eastAsia="Times New Roman" w:hAnsi="Calibri" w:cs="Calibri"/>
          <w:color w:val="212121"/>
        </w:rPr>
        <w:t xml:space="preserve">To ensure (via the </w:t>
      </w:r>
      <w:proofErr w:type="gramStart"/>
      <w:r w:rsidRPr="0E358FE3">
        <w:rPr>
          <w:rFonts w:ascii="Calibri" w:eastAsia="Times New Roman" w:hAnsi="Calibri" w:cs="Calibri"/>
          <w:color w:val="212121"/>
        </w:rPr>
        <w:t>Library</w:t>
      </w:r>
      <w:proofErr w:type="gramEnd"/>
      <w:r w:rsidRPr="0E358FE3">
        <w:rPr>
          <w:rFonts w:ascii="Calibri" w:eastAsia="Times New Roman" w:hAnsi="Calibri" w:cs="Calibri"/>
          <w:color w:val="212121"/>
        </w:rPr>
        <w:t xml:space="preserve">) that outputs are recorded on Pure and </w:t>
      </w:r>
      <w:r w:rsidR="00C1087E" w:rsidRPr="0E358FE3">
        <w:rPr>
          <w:rFonts w:ascii="Calibri" w:eastAsia="Times New Roman" w:hAnsi="Calibri" w:cs="Calibri"/>
          <w:color w:val="212121"/>
        </w:rPr>
        <w:t>to check O</w:t>
      </w:r>
      <w:r w:rsidR="00811785" w:rsidRPr="0E358FE3">
        <w:rPr>
          <w:rFonts w:ascii="Calibri" w:eastAsia="Times New Roman" w:hAnsi="Calibri" w:cs="Calibri"/>
          <w:color w:val="212121"/>
        </w:rPr>
        <w:t xml:space="preserve">pen </w:t>
      </w:r>
      <w:r w:rsidR="00C1087E" w:rsidRPr="0E358FE3">
        <w:rPr>
          <w:rFonts w:ascii="Calibri" w:eastAsia="Times New Roman" w:hAnsi="Calibri" w:cs="Calibri"/>
          <w:color w:val="212121"/>
        </w:rPr>
        <w:t>A</w:t>
      </w:r>
      <w:r w:rsidR="00811785" w:rsidRPr="0E358FE3">
        <w:rPr>
          <w:rFonts w:ascii="Calibri" w:eastAsia="Times New Roman" w:hAnsi="Calibri" w:cs="Calibri"/>
          <w:color w:val="212121"/>
        </w:rPr>
        <w:t>ccess</w:t>
      </w:r>
      <w:r w:rsidRPr="0E358FE3">
        <w:rPr>
          <w:rFonts w:ascii="Calibri" w:eastAsia="Times New Roman" w:hAnsi="Calibri" w:cs="Calibri"/>
          <w:color w:val="212121"/>
        </w:rPr>
        <w:t xml:space="preserve"> </w:t>
      </w:r>
      <w:r w:rsidR="71E96A66" w:rsidRPr="0E358FE3">
        <w:rPr>
          <w:rFonts w:ascii="Calibri" w:eastAsia="Times New Roman" w:hAnsi="Calibri" w:cs="Calibri"/>
          <w:color w:val="212121"/>
        </w:rPr>
        <w:t>compliance or e</w:t>
      </w:r>
      <w:r w:rsidRPr="0E358FE3">
        <w:rPr>
          <w:rFonts w:ascii="Calibri" w:eastAsia="Times New Roman" w:hAnsi="Calibri" w:cs="Calibri"/>
          <w:color w:val="212121"/>
        </w:rPr>
        <w:t>xceptions, and to understand evolving issues concerning O</w:t>
      </w:r>
      <w:r w:rsidR="0043456E" w:rsidRPr="0E358FE3">
        <w:rPr>
          <w:rFonts w:ascii="Calibri" w:eastAsia="Times New Roman" w:hAnsi="Calibri" w:cs="Calibri"/>
          <w:color w:val="212121"/>
        </w:rPr>
        <w:t xml:space="preserve">pen </w:t>
      </w:r>
      <w:r w:rsidR="00046C22" w:rsidRPr="0E358FE3">
        <w:rPr>
          <w:rFonts w:ascii="Calibri" w:eastAsia="Times New Roman" w:hAnsi="Calibri" w:cs="Calibri"/>
          <w:color w:val="212121"/>
        </w:rPr>
        <w:t>A</w:t>
      </w:r>
      <w:r w:rsidR="0043456E" w:rsidRPr="0E358FE3">
        <w:rPr>
          <w:rFonts w:ascii="Calibri" w:eastAsia="Times New Roman" w:hAnsi="Calibri" w:cs="Calibri"/>
          <w:color w:val="212121"/>
        </w:rPr>
        <w:t>ccess, based on current information</w:t>
      </w:r>
      <w:r w:rsidR="00457E52" w:rsidRPr="0E358FE3">
        <w:rPr>
          <w:rFonts w:ascii="Calibri" w:eastAsia="Times New Roman" w:hAnsi="Calibri" w:cs="Calibri"/>
          <w:color w:val="212121"/>
        </w:rPr>
        <w:t xml:space="preserve"> </w:t>
      </w:r>
      <w:r w:rsidR="00B11FB2" w:rsidRPr="0E358FE3">
        <w:rPr>
          <w:rFonts w:ascii="Calibri" w:eastAsia="Times New Roman" w:hAnsi="Calibri" w:cs="Calibri"/>
          <w:color w:val="212121"/>
        </w:rPr>
        <w:t xml:space="preserve">for </w:t>
      </w:r>
      <w:r w:rsidRPr="0E358FE3">
        <w:rPr>
          <w:rFonts w:ascii="Calibri" w:eastAsia="Times New Roman" w:hAnsi="Calibri" w:cs="Calibri"/>
          <w:color w:val="212121"/>
        </w:rPr>
        <w:t xml:space="preserve">eligibility </w:t>
      </w:r>
      <w:r w:rsidR="00B11FB2" w:rsidRPr="0E358FE3">
        <w:rPr>
          <w:rFonts w:ascii="Calibri" w:eastAsia="Times New Roman" w:hAnsi="Calibri" w:cs="Calibri"/>
          <w:color w:val="212121"/>
        </w:rPr>
        <w:t>in</w:t>
      </w:r>
      <w:r w:rsidRPr="0E358FE3">
        <w:rPr>
          <w:rFonts w:ascii="Calibri" w:eastAsia="Times New Roman" w:hAnsi="Calibri" w:cs="Calibri"/>
          <w:color w:val="212121"/>
        </w:rPr>
        <w:t xml:space="preserve"> REF2029</w:t>
      </w:r>
      <w:r w:rsidR="00457E52" w:rsidRPr="0E358FE3">
        <w:rPr>
          <w:rFonts w:ascii="Calibri" w:eastAsia="Times New Roman" w:hAnsi="Calibri" w:cs="Calibri"/>
          <w:color w:val="212121"/>
        </w:rPr>
        <w:t xml:space="preserve">. </w:t>
      </w:r>
    </w:p>
    <w:p w14:paraId="54E43140" w14:textId="0EB20EC8" w:rsidR="004C4A03" w:rsidRDefault="004C4A03" w:rsidP="004C4A03">
      <w:pPr>
        <w:pStyle w:val="ListParagraph"/>
        <w:numPr>
          <w:ilvl w:val="0"/>
          <w:numId w:val="10"/>
        </w:numPr>
        <w:spacing w:after="0" w:line="240" w:lineRule="auto"/>
        <w:rPr>
          <w:rFonts w:ascii="Calibri" w:eastAsia="Times New Roman" w:hAnsi="Calibri" w:cs="Calibri"/>
          <w:color w:val="212121"/>
        </w:rPr>
      </w:pPr>
      <w:r w:rsidRPr="0E358FE3">
        <w:rPr>
          <w:rFonts w:ascii="Calibri" w:eastAsia="Times New Roman" w:hAnsi="Calibri" w:cs="Calibri"/>
          <w:color w:val="212121"/>
        </w:rPr>
        <w:lastRenderedPageBreak/>
        <w:t xml:space="preserve">Focus </w:t>
      </w:r>
      <w:r w:rsidR="0498FB71" w:rsidRPr="0E358FE3">
        <w:rPr>
          <w:rFonts w:ascii="Calibri" w:eastAsia="Times New Roman" w:hAnsi="Calibri" w:cs="Calibri"/>
          <w:color w:val="212121"/>
        </w:rPr>
        <w:t xml:space="preserve">on </w:t>
      </w:r>
      <w:r w:rsidRPr="0E358FE3">
        <w:rPr>
          <w:rFonts w:ascii="Calibri" w:eastAsia="Times New Roman" w:hAnsi="Calibri" w:cs="Calibri"/>
          <w:color w:val="212121"/>
        </w:rPr>
        <w:t>outputs</w:t>
      </w:r>
      <w:r w:rsidR="00BA45EC">
        <w:rPr>
          <w:rFonts w:ascii="Calibri" w:eastAsia="Times New Roman" w:hAnsi="Calibri" w:cs="Calibri"/>
          <w:color w:val="212121"/>
        </w:rPr>
        <w:t>.</w:t>
      </w:r>
    </w:p>
    <w:p w14:paraId="414B6C5B" w14:textId="3D7E8711" w:rsidR="00BA45EC" w:rsidRPr="00E644E6" w:rsidRDefault="00BA45EC" w:rsidP="004C4A03">
      <w:pPr>
        <w:pStyle w:val="ListParagraph"/>
        <w:numPr>
          <w:ilvl w:val="0"/>
          <w:numId w:val="10"/>
        </w:numPr>
        <w:spacing w:after="0" w:line="240" w:lineRule="auto"/>
        <w:rPr>
          <w:rFonts w:ascii="Calibri" w:eastAsia="Times New Roman" w:hAnsi="Calibri" w:cs="Calibri"/>
          <w:color w:val="212121"/>
        </w:rPr>
      </w:pPr>
      <w:r>
        <w:rPr>
          <w:rFonts w:ascii="Calibri" w:eastAsia="Times New Roman" w:hAnsi="Calibri" w:cs="Calibri"/>
          <w:color w:val="212121"/>
        </w:rPr>
        <w:t xml:space="preserve">Submission period for REF is anything </w:t>
      </w:r>
      <w:r w:rsidR="000110B7">
        <w:rPr>
          <w:rFonts w:ascii="Calibri" w:eastAsia="Times New Roman" w:hAnsi="Calibri" w:cs="Calibri"/>
          <w:color w:val="212121"/>
        </w:rPr>
        <w:t xml:space="preserve">published from </w:t>
      </w:r>
      <w:r w:rsidR="00812373">
        <w:rPr>
          <w:rFonts w:ascii="Calibri" w:eastAsia="Times New Roman" w:hAnsi="Calibri" w:cs="Calibri"/>
          <w:color w:val="212121"/>
        </w:rPr>
        <w:t>01/01/2021 and not included in the last REF.</w:t>
      </w:r>
    </w:p>
    <w:p w14:paraId="4EF0A493" w14:textId="6F061A18" w:rsidR="00B113DB" w:rsidRPr="00E644E6" w:rsidRDefault="00B113DB" w:rsidP="00B113DB">
      <w:pPr>
        <w:pStyle w:val="ListParagraph"/>
        <w:numPr>
          <w:ilvl w:val="0"/>
          <w:numId w:val="10"/>
        </w:numPr>
        <w:spacing w:after="0" w:line="240" w:lineRule="auto"/>
        <w:contextualSpacing w:val="0"/>
        <w:rPr>
          <w:rFonts w:ascii="Calibri" w:eastAsia="Times New Roman" w:hAnsi="Calibri" w:cs="Calibri"/>
          <w:color w:val="212121"/>
        </w:rPr>
      </w:pPr>
      <w:r w:rsidRPr="00E644E6">
        <w:rPr>
          <w:rFonts w:ascii="Calibri" w:eastAsia="Times New Roman" w:hAnsi="Calibri" w:cs="Calibri"/>
          <w:color w:val="212121"/>
        </w:rPr>
        <w:t xml:space="preserve">Ensure that a proportion of outputs </w:t>
      </w:r>
      <w:r w:rsidR="00811785" w:rsidRPr="00E644E6">
        <w:rPr>
          <w:rFonts w:ascii="Calibri" w:eastAsia="Times New Roman" w:hAnsi="Calibri" w:cs="Calibri"/>
          <w:color w:val="212121"/>
        </w:rPr>
        <w:t>are</w:t>
      </w:r>
      <w:r w:rsidRPr="00E644E6">
        <w:rPr>
          <w:rFonts w:ascii="Calibri" w:eastAsia="Times New Roman" w:hAnsi="Calibri" w:cs="Calibri"/>
          <w:color w:val="212121"/>
        </w:rPr>
        <w:t xml:space="preserve"> assessed externally.</w:t>
      </w:r>
    </w:p>
    <w:p w14:paraId="26315156" w14:textId="77777777" w:rsidR="00E418F5" w:rsidRPr="00E644E6" w:rsidRDefault="00E418F5" w:rsidP="00E418F5">
      <w:pPr>
        <w:pStyle w:val="ListParagraph"/>
        <w:numPr>
          <w:ilvl w:val="0"/>
          <w:numId w:val="10"/>
        </w:numPr>
        <w:spacing w:after="0" w:line="240" w:lineRule="auto"/>
        <w:rPr>
          <w:rFonts w:ascii="Calibri" w:eastAsia="Times New Roman" w:hAnsi="Calibri" w:cs="Calibri"/>
          <w:color w:val="212121"/>
        </w:rPr>
      </w:pPr>
      <w:r w:rsidRPr="00E644E6">
        <w:rPr>
          <w:rFonts w:ascii="Calibri" w:eastAsia="Times New Roman" w:hAnsi="Calibri" w:cs="Calibri"/>
          <w:color w:val="212121"/>
        </w:rPr>
        <w:t>Work within a strong culture of EDI.</w:t>
      </w:r>
    </w:p>
    <w:p w14:paraId="5B6F7AE4" w14:textId="1F0B6ABC" w:rsidR="00624AA1" w:rsidRDefault="00C23532" w:rsidP="00E418F5">
      <w:pPr>
        <w:pStyle w:val="ListParagraph"/>
        <w:numPr>
          <w:ilvl w:val="0"/>
          <w:numId w:val="10"/>
        </w:numPr>
        <w:spacing w:after="0" w:line="240" w:lineRule="auto"/>
        <w:rPr>
          <w:rFonts w:ascii="Calibri" w:eastAsia="Times New Roman" w:hAnsi="Calibri" w:cs="Calibri"/>
          <w:color w:val="212121"/>
        </w:rPr>
      </w:pPr>
      <w:r>
        <w:rPr>
          <w:rFonts w:ascii="Calibri" w:eastAsia="Times New Roman" w:hAnsi="Calibri" w:cs="Calibri"/>
          <w:color w:val="212121"/>
        </w:rPr>
        <w:t xml:space="preserve">Propose a maximum of 5 outputs per person </w:t>
      </w:r>
      <w:r w:rsidR="00B11FB2">
        <w:rPr>
          <w:rFonts w:ascii="Calibri" w:eastAsia="Times New Roman" w:hAnsi="Calibri" w:cs="Calibri"/>
          <w:color w:val="212121"/>
        </w:rPr>
        <w:t>for</w:t>
      </w:r>
      <w:r>
        <w:rPr>
          <w:rFonts w:ascii="Calibri" w:eastAsia="Times New Roman" w:hAnsi="Calibri" w:cs="Calibri"/>
          <w:color w:val="212121"/>
        </w:rPr>
        <w:t xml:space="preserve"> 3 or 4</w:t>
      </w:r>
      <w:r w:rsidR="00624AA1">
        <w:rPr>
          <w:rFonts w:ascii="Calibri" w:eastAsia="Times New Roman" w:hAnsi="Calibri" w:cs="Calibri"/>
          <w:color w:val="212121"/>
        </w:rPr>
        <w:t>*</w:t>
      </w:r>
      <w:r w:rsidR="00E475E3">
        <w:rPr>
          <w:rFonts w:ascii="Calibri" w:eastAsia="Times New Roman" w:hAnsi="Calibri" w:cs="Calibri"/>
          <w:color w:val="212121"/>
        </w:rPr>
        <w:t>outputs only.</w:t>
      </w:r>
    </w:p>
    <w:p w14:paraId="743C1042" w14:textId="7930E754" w:rsidR="00B01436" w:rsidRDefault="00E475E3" w:rsidP="00E418F5">
      <w:pPr>
        <w:pStyle w:val="ListParagraph"/>
        <w:numPr>
          <w:ilvl w:val="0"/>
          <w:numId w:val="10"/>
        </w:numPr>
        <w:spacing w:after="0" w:line="240" w:lineRule="auto"/>
        <w:rPr>
          <w:rFonts w:ascii="Calibri" w:eastAsia="Times New Roman" w:hAnsi="Calibri" w:cs="Calibri"/>
          <w:color w:val="212121"/>
        </w:rPr>
      </w:pPr>
      <w:r w:rsidRPr="0E358FE3">
        <w:rPr>
          <w:rFonts w:ascii="Calibri" w:eastAsia="Times New Roman" w:hAnsi="Calibri" w:cs="Calibri"/>
          <w:color w:val="212121"/>
        </w:rPr>
        <w:t>Ensure</w:t>
      </w:r>
      <w:r w:rsidR="63EB6E09" w:rsidRPr="0E358FE3">
        <w:rPr>
          <w:rFonts w:ascii="Calibri" w:eastAsia="Times New Roman" w:hAnsi="Calibri" w:cs="Calibri"/>
          <w:color w:val="212121"/>
        </w:rPr>
        <w:t xml:space="preserve"> no</w:t>
      </w:r>
      <w:r w:rsidR="0072401A" w:rsidRPr="0E358FE3">
        <w:rPr>
          <w:rFonts w:ascii="Calibri" w:eastAsia="Times New Roman" w:hAnsi="Calibri" w:cs="Calibri"/>
          <w:color w:val="212121"/>
        </w:rPr>
        <w:t xml:space="preserve"> detriment </w:t>
      </w:r>
      <w:r w:rsidR="5342DCD6" w:rsidRPr="0E358FE3">
        <w:rPr>
          <w:rFonts w:ascii="Calibri" w:eastAsia="Times New Roman" w:hAnsi="Calibri" w:cs="Calibri"/>
          <w:color w:val="212121"/>
        </w:rPr>
        <w:t xml:space="preserve">to </w:t>
      </w:r>
      <w:r w:rsidR="0072401A" w:rsidRPr="0E358FE3">
        <w:rPr>
          <w:rFonts w:ascii="Calibri" w:eastAsia="Times New Roman" w:hAnsi="Calibri" w:cs="Calibri"/>
          <w:color w:val="212121"/>
        </w:rPr>
        <w:t>those who do not currently have any papers</w:t>
      </w:r>
      <w:r w:rsidRPr="0E358FE3">
        <w:rPr>
          <w:rFonts w:ascii="Calibri" w:eastAsia="Times New Roman" w:hAnsi="Calibri" w:cs="Calibri"/>
          <w:color w:val="212121"/>
        </w:rPr>
        <w:t xml:space="preserve"> to propose.</w:t>
      </w:r>
      <w:r w:rsidR="0072401A" w:rsidRPr="0E358FE3">
        <w:rPr>
          <w:rFonts w:ascii="Calibri" w:eastAsia="Times New Roman" w:hAnsi="Calibri" w:cs="Calibri"/>
          <w:color w:val="212121"/>
        </w:rPr>
        <w:t xml:space="preserve"> </w:t>
      </w:r>
    </w:p>
    <w:p w14:paraId="5320F8CB" w14:textId="3B07C00B" w:rsidR="008A416E" w:rsidRDefault="008A416E" w:rsidP="008A416E">
      <w:pPr>
        <w:pStyle w:val="ListParagraph"/>
        <w:numPr>
          <w:ilvl w:val="0"/>
          <w:numId w:val="10"/>
        </w:numPr>
        <w:spacing w:after="0" w:line="240" w:lineRule="auto"/>
        <w:contextualSpacing w:val="0"/>
        <w:rPr>
          <w:rFonts w:ascii="Calibri" w:eastAsia="Times New Roman" w:hAnsi="Calibri" w:cs="Calibri"/>
          <w:color w:val="212121"/>
        </w:rPr>
      </w:pPr>
      <w:r w:rsidRPr="00E644E6">
        <w:rPr>
          <w:rFonts w:ascii="Calibri" w:eastAsia="Times New Roman" w:hAnsi="Calibri" w:cs="Calibri"/>
          <w:color w:val="212121"/>
        </w:rPr>
        <w:t>Use the Pure REF assessment module</w:t>
      </w:r>
      <w:r w:rsidR="00811785" w:rsidRPr="00E644E6">
        <w:rPr>
          <w:rFonts w:ascii="Calibri" w:eastAsia="Times New Roman" w:hAnsi="Calibri" w:cs="Calibri"/>
          <w:color w:val="212121"/>
        </w:rPr>
        <w:t xml:space="preserve"> for consistency of approach and recording assessments</w:t>
      </w:r>
      <w:r w:rsidRPr="00E644E6">
        <w:rPr>
          <w:rFonts w:ascii="Calibri" w:eastAsia="Times New Roman" w:hAnsi="Calibri" w:cs="Calibri"/>
          <w:color w:val="212121"/>
        </w:rPr>
        <w:t>.</w:t>
      </w:r>
    </w:p>
    <w:p w14:paraId="662C4258" w14:textId="6DF6A0D8" w:rsidR="00E475E3" w:rsidRDefault="00E475E3" w:rsidP="008A416E">
      <w:pPr>
        <w:pStyle w:val="ListParagraph"/>
        <w:numPr>
          <w:ilvl w:val="0"/>
          <w:numId w:val="10"/>
        </w:numPr>
        <w:spacing w:after="0" w:line="240" w:lineRule="auto"/>
        <w:contextualSpacing w:val="0"/>
        <w:rPr>
          <w:rFonts w:ascii="Calibri" w:eastAsia="Times New Roman" w:hAnsi="Calibri" w:cs="Calibri"/>
          <w:color w:val="212121"/>
        </w:rPr>
      </w:pPr>
      <w:r>
        <w:rPr>
          <w:rFonts w:ascii="Calibri" w:eastAsia="Times New Roman" w:hAnsi="Calibri" w:cs="Calibri"/>
          <w:color w:val="212121"/>
        </w:rPr>
        <w:t>Where work has already beg</w:t>
      </w:r>
      <w:r w:rsidR="0067734A">
        <w:rPr>
          <w:rFonts w:ascii="Calibri" w:eastAsia="Times New Roman" w:hAnsi="Calibri" w:cs="Calibri"/>
          <w:color w:val="212121"/>
        </w:rPr>
        <w:t>u</w:t>
      </w:r>
      <w:r>
        <w:rPr>
          <w:rFonts w:ascii="Calibri" w:eastAsia="Times New Roman" w:hAnsi="Calibri" w:cs="Calibri"/>
          <w:color w:val="212121"/>
        </w:rPr>
        <w:t>n</w:t>
      </w:r>
      <w:r w:rsidR="0067734A">
        <w:rPr>
          <w:rFonts w:ascii="Calibri" w:eastAsia="Times New Roman" w:hAnsi="Calibri" w:cs="Calibri"/>
          <w:color w:val="212121"/>
        </w:rPr>
        <w:t>,</w:t>
      </w:r>
      <w:r>
        <w:rPr>
          <w:rFonts w:ascii="Calibri" w:eastAsia="Times New Roman" w:hAnsi="Calibri" w:cs="Calibri"/>
          <w:color w:val="212121"/>
        </w:rPr>
        <w:t xml:space="preserve"> </w:t>
      </w:r>
      <w:r w:rsidR="00130D58">
        <w:rPr>
          <w:rFonts w:ascii="Calibri" w:eastAsia="Times New Roman" w:hAnsi="Calibri" w:cs="Calibri"/>
          <w:color w:val="212121"/>
        </w:rPr>
        <w:t>continue with processes</w:t>
      </w:r>
      <w:r w:rsidR="00CF4595">
        <w:rPr>
          <w:rFonts w:ascii="Calibri" w:eastAsia="Times New Roman" w:hAnsi="Calibri" w:cs="Calibri"/>
          <w:color w:val="212121"/>
        </w:rPr>
        <w:t xml:space="preserve"> in place.</w:t>
      </w:r>
    </w:p>
    <w:p w14:paraId="69B814D3" w14:textId="32178F50" w:rsidR="007C2F24" w:rsidRDefault="00130D58" w:rsidP="008A416E">
      <w:pPr>
        <w:pStyle w:val="ListParagraph"/>
        <w:numPr>
          <w:ilvl w:val="0"/>
          <w:numId w:val="10"/>
        </w:numPr>
        <w:spacing w:after="0" w:line="240" w:lineRule="auto"/>
        <w:contextualSpacing w:val="0"/>
        <w:rPr>
          <w:rFonts w:ascii="Calibri" w:eastAsia="Times New Roman" w:hAnsi="Calibri" w:cs="Calibri"/>
          <w:color w:val="212121"/>
        </w:rPr>
      </w:pPr>
      <w:r>
        <w:rPr>
          <w:rFonts w:ascii="Calibri" w:eastAsia="Times New Roman" w:hAnsi="Calibri" w:cs="Calibri"/>
          <w:color w:val="212121"/>
        </w:rPr>
        <w:t>No current requirement for</w:t>
      </w:r>
      <w:r w:rsidR="007C2F24">
        <w:rPr>
          <w:rFonts w:ascii="Calibri" w:eastAsia="Times New Roman" w:hAnsi="Calibri" w:cs="Calibri"/>
          <w:color w:val="212121"/>
        </w:rPr>
        <w:t xml:space="preserve"> 100 words for outputs for Engineering and SCC in the initial internal assessment. </w:t>
      </w:r>
    </w:p>
    <w:p w14:paraId="3F45AABF" w14:textId="5F2C1EA2" w:rsidR="00014DCE" w:rsidRDefault="00014DCE" w:rsidP="008A416E">
      <w:pPr>
        <w:pStyle w:val="ListParagraph"/>
        <w:numPr>
          <w:ilvl w:val="0"/>
          <w:numId w:val="10"/>
        </w:numPr>
        <w:spacing w:after="0" w:line="240" w:lineRule="auto"/>
        <w:contextualSpacing w:val="0"/>
        <w:rPr>
          <w:rFonts w:ascii="Calibri" w:eastAsia="Times New Roman" w:hAnsi="Calibri" w:cs="Calibri"/>
          <w:color w:val="212121"/>
        </w:rPr>
      </w:pPr>
      <w:r>
        <w:rPr>
          <w:rFonts w:ascii="Calibri" w:eastAsia="Times New Roman" w:hAnsi="Calibri" w:cs="Calibri"/>
          <w:color w:val="212121"/>
        </w:rPr>
        <w:t>REF outputs should be scored on a 13 Points scale</w:t>
      </w:r>
      <w:r w:rsidR="00D622A1">
        <w:rPr>
          <w:rFonts w:ascii="Calibri" w:eastAsia="Times New Roman" w:hAnsi="Calibri" w:cs="Calibri"/>
          <w:color w:val="212121"/>
        </w:rPr>
        <w:t xml:space="preserve"> (see below)</w:t>
      </w:r>
    </w:p>
    <w:p w14:paraId="372444C8" w14:textId="7E63C66A" w:rsidR="007C2F24" w:rsidRDefault="00130D58" w:rsidP="0E358FE3">
      <w:pPr>
        <w:pStyle w:val="ListParagraph"/>
        <w:numPr>
          <w:ilvl w:val="0"/>
          <w:numId w:val="10"/>
        </w:numPr>
        <w:spacing w:after="0" w:line="240" w:lineRule="auto"/>
        <w:rPr>
          <w:rFonts w:ascii="Calibri" w:eastAsia="Times New Roman" w:hAnsi="Calibri" w:cs="Calibri"/>
          <w:color w:val="212121"/>
        </w:rPr>
      </w:pPr>
      <w:r w:rsidRPr="0E358FE3">
        <w:rPr>
          <w:rFonts w:ascii="Calibri" w:eastAsia="Times New Roman" w:hAnsi="Calibri" w:cs="Calibri"/>
          <w:color w:val="212121"/>
        </w:rPr>
        <w:t>Continue to a</w:t>
      </w:r>
      <w:r w:rsidR="007C2F24" w:rsidRPr="0E358FE3">
        <w:rPr>
          <w:rFonts w:ascii="Calibri" w:eastAsia="Times New Roman" w:hAnsi="Calibri" w:cs="Calibri"/>
          <w:color w:val="212121"/>
        </w:rPr>
        <w:t>ssess training</w:t>
      </w:r>
      <w:r w:rsidR="0FE0C231" w:rsidRPr="0E358FE3">
        <w:rPr>
          <w:rFonts w:ascii="Calibri" w:eastAsia="Times New Roman" w:hAnsi="Calibri" w:cs="Calibri"/>
          <w:color w:val="212121"/>
        </w:rPr>
        <w:t xml:space="preserve"> and support</w:t>
      </w:r>
      <w:r w:rsidR="007C2F24" w:rsidRPr="0E358FE3">
        <w:rPr>
          <w:rFonts w:ascii="Calibri" w:eastAsia="Times New Roman" w:hAnsi="Calibri" w:cs="Calibri"/>
          <w:color w:val="212121"/>
        </w:rPr>
        <w:t xml:space="preserve"> for experienced and new members of staff. </w:t>
      </w:r>
    </w:p>
    <w:p w14:paraId="64D09010" w14:textId="7404C5AC" w:rsidR="003C0BE3" w:rsidRPr="00130D58" w:rsidRDefault="003C0BE3" w:rsidP="0E358FE3">
      <w:pPr>
        <w:pStyle w:val="ListParagraph"/>
        <w:numPr>
          <w:ilvl w:val="0"/>
          <w:numId w:val="10"/>
        </w:numPr>
        <w:spacing w:after="0" w:line="240" w:lineRule="auto"/>
        <w:rPr>
          <w:rFonts w:ascii="Calibri" w:eastAsia="Times New Roman" w:hAnsi="Calibri" w:cs="Calibri"/>
          <w:color w:val="212121"/>
        </w:rPr>
      </w:pPr>
      <w:r>
        <w:rPr>
          <w:rFonts w:ascii="Calibri" w:eastAsia="Times New Roman" w:hAnsi="Calibri" w:cs="Calibri"/>
          <w:color w:val="212121"/>
        </w:rPr>
        <w:t xml:space="preserve">Impact case Studies are not the </w:t>
      </w:r>
      <w:proofErr w:type="gramStart"/>
      <w:r>
        <w:rPr>
          <w:rFonts w:ascii="Calibri" w:eastAsia="Times New Roman" w:hAnsi="Calibri" w:cs="Calibri"/>
          <w:color w:val="212121"/>
        </w:rPr>
        <w:t>main focus</w:t>
      </w:r>
      <w:proofErr w:type="gramEnd"/>
      <w:r>
        <w:rPr>
          <w:rFonts w:ascii="Calibri" w:eastAsia="Times New Roman" w:hAnsi="Calibri" w:cs="Calibri"/>
          <w:color w:val="212121"/>
        </w:rPr>
        <w:t xml:space="preserve"> of this stocktake but will be assessed</w:t>
      </w:r>
      <w:r w:rsidR="0096429F">
        <w:rPr>
          <w:rFonts w:ascii="Calibri" w:eastAsia="Times New Roman" w:hAnsi="Calibri" w:cs="Calibri"/>
          <w:color w:val="212121"/>
        </w:rPr>
        <w:t xml:space="preserve"> in due course</w:t>
      </w:r>
      <w:r>
        <w:rPr>
          <w:rFonts w:ascii="Calibri" w:eastAsia="Times New Roman" w:hAnsi="Calibri" w:cs="Calibri"/>
          <w:color w:val="212121"/>
        </w:rPr>
        <w:t xml:space="preserve">. </w:t>
      </w:r>
    </w:p>
    <w:p w14:paraId="04244334" w14:textId="77777777" w:rsidR="0068100C" w:rsidRPr="00E644E6" w:rsidRDefault="0068100C" w:rsidP="0068100C">
      <w:pPr>
        <w:spacing w:after="0" w:line="240" w:lineRule="auto"/>
        <w:rPr>
          <w:rFonts w:ascii="Calibri" w:eastAsia="Times New Roman" w:hAnsi="Calibri" w:cs="Calibri"/>
          <w:color w:val="212121"/>
        </w:rPr>
      </w:pPr>
    </w:p>
    <w:p w14:paraId="31287404" w14:textId="77777777" w:rsidR="00D77B4E" w:rsidRPr="00E644E6" w:rsidRDefault="00D77B4E" w:rsidP="003256F5">
      <w:pPr>
        <w:pStyle w:val="Heading3"/>
        <w:rPr>
          <w:rFonts w:ascii="Calibri" w:hAnsi="Calibri" w:cs="Calibri"/>
        </w:rPr>
      </w:pPr>
      <w:r w:rsidRPr="00E644E6">
        <w:rPr>
          <w:rFonts w:ascii="Calibri" w:hAnsi="Calibri" w:cs="Calibri"/>
        </w:rPr>
        <w:t>The Faculty’s Role</w:t>
      </w:r>
    </w:p>
    <w:p w14:paraId="707F6966" w14:textId="19657A63" w:rsidR="00D77B4E" w:rsidRPr="00E644E6" w:rsidRDefault="00DC7899" w:rsidP="00D77B4E">
      <w:pPr>
        <w:jc w:val="both"/>
        <w:rPr>
          <w:rFonts w:ascii="Calibri" w:hAnsi="Calibri" w:cs="Calibri"/>
        </w:rPr>
      </w:pPr>
      <w:r w:rsidRPr="00E644E6">
        <w:rPr>
          <w:rFonts w:ascii="Calibri" w:hAnsi="Calibri" w:cs="Calibri"/>
        </w:rPr>
        <w:t xml:space="preserve">It is important that faculties oversee the local delegation of our preparation processes within their </w:t>
      </w:r>
      <w:r w:rsidR="00D73559" w:rsidRPr="00E644E6">
        <w:rPr>
          <w:rFonts w:ascii="Calibri" w:hAnsi="Calibri" w:cs="Calibri"/>
        </w:rPr>
        <w:t xml:space="preserve">own </w:t>
      </w:r>
      <w:r w:rsidRPr="00E644E6">
        <w:rPr>
          <w:rFonts w:ascii="Calibri" w:hAnsi="Calibri" w:cs="Calibri"/>
        </w:rPr>
        <w:t>departments</w:t>
      </w:r>
      <w:r w:rsidR="002609B7" w:rsidRPr="00E644E6">
        <w:rPr>
          <w:rFonts w:ascii="Calibri" w:hAnsi="Calibri" w:cs="Calibri"/>
        </w:rPr>
        <w:t xml:space="preserve"> and that there is understanding of the </w:t>
      </w:r>
      <w:r w:rsidR="00BE6E84" w:rsidRPr="00E644E6">
        <w:rPr>
          <w:rFonts w:ascii="Calibri" w:hAnsi="Calibri" w:cs="Calibri"/>
        </w:rPr>
        <w:t xml:space="preserve">current </w:t>
      </w:r>
      <w:r w:rsidR="00D77B4E" w:rsidRPr="00E644E6">
        <w:rPr>
          <w:rFonts w:ascii="Calibri" w:hAnsi="Calibri" w:cs="Calibri"/>
        </w:rPr>
        <w:t xml:space="preserve">published </w:t>
      </w:r>
      <w:r w:rsidR="002609B7" w:rsidRPr="00E644E6">
        <w:rPr>
          <w:rFonts w:ascii="Calibri" w:hAnsi="Calibri" w:cs="Calibri"/>
        </w:rPr>
        <w:t xml:space="preserve">REF </w:t>
      </w:r>
      <w:r w:rsidR="00D77B4E" w:rsidRPr="00E644E6">
        <w:rPr>
          <w:rFonts w:ascii="Calibri" w:hAnsi="Calibri" w:cs="Calibri"/>
        </w:rPr>
        <w:t xml:space="preserve">criteria </w:t>
      </w:r>
      <w:r w:rsidR="00BE6E84" w:rsidRPr="00E644E6">
        <w:rPr>
          <w:rFonts w:ascii="Calibri" w:hAnsi="Calibri" w:cs="Calibri"/>
        </w:rPr>
        <w:t xml:space="preserve">(and </w:t>
      </w:r>
      <w:r w:rsidR="00942280" w:rsidRPr="00E644E6">
        <w:rPr>
          <w:rFonts w:ascii="Calibri" w:hAnsi="Calibri" w:cs="Calibri"/>
        </w:rPr>
        <w:t>ultimatel</w:t>
      </w:r>
      <w:r w:rsidR="005570C3" w:rsidRPr="00E644E6">
        <w:rPr>
          <w:rFonts w:ascii="Calibri" w:hAnsi="Calibri" w:cs="Calibri"/>
        </w:rPr>
        <w:t xml:space="preserve">y the panel criteria </w:t>
      </w:r>
      <w:r w:rsidR="00891763" w:rsidRPr="00E644E6">
        <w:rPr>
          <w:rFonts w:ascii="Calibri" w:hAnsi="Calibri" w:cs="Calibri"/>
        </w:rPr>
        <w:t xml:space="preserve">for their specific </w:t>
      </w:r>
      <w:r w:rsidR="00D77B4E" w:rsidRPr="00E644E6">
        <w:rPr>
          <w:rFonts w:ascii="Calibri" w:hAnsi="Calibri" w:cs="Calibri"/>
        </w:rPr>
        <w:t>discipline</w:t>
      </w:r>
      <w:r w:rsidR="00891763" w:rsidRPr="00E644E6">
        <w:rPr>
          <w:rFonts w:ascii="Calibri" w:hAnsi="Calibri" w:cs="Calibri"/>
        </w:rPr>
        <w:t xml:space="preserve"> </w:t>
      </w:r>
      <w:r w:rsidR="005570C3" w:rsidRPr="00E644E6">
        <w:rPr>
          <w:rFonts w:ascii="Calibri" w:hAnsi="Calibri" w:cs="Calibri"/>
        </w:rPr>
        <w:t xml:space="preserve">when available) </w:t>
      </w:r>
      <w:r w:rsidR="00891763" w:rsidRPr="00E644E6">
        <w:rPr>
          <w:rFonts w:ascii="Calibri" w:hAnsi="Calibri" w:cs="Calibri"/>
        </w:rPr>
        <w:t xml:space="preserve">which will guide the </w:t>
      </w:r>
      <w:r w:rsidR="002609B7" w:rsidRPr="00E644E6">
        <w:rPr>
          <w:rFonts w:ascii="Calibri" w:hAnsi="Calibri" w:cs="Calibri"/>
        </w:rPr>
        <w:t xml:space="preserve">REF panels </w:t>
      </w:r>
      <w:r w:rsidR="00891763" w:rsidRPr="00E644E6">
        <w:rPr>
          <w:rFonts w:ascii="Calibri" w:hAnsi="Calibri" w:cs="Calibri"/>
        </w:rPr>
        <w:t xml:space="preserve">in their </w:t>
      </w:r>
      <w:r w:rsidR="002609B7" w:rsidRPr="00E644E6">
        <w:rPr>
          <w:rFonts w:ascii="Calibri" w:hAnsi="Calibri" w:cs="Calibri"/>
        </w:rPr>
        <w:t>assess</w:t>
      </w:r>
      <w:r w:rsidR="00891763" w:rsidRPr="00E644E6">
        <w:rPr>
          <w:rFonts w:ascii="Calibri" w:hAnsi="Calibri" w:cs="Calibri"/>
        </w:rPr>
        <w:t>ments</w:t>
      </w:r>
      <w:r w:rsidR="00D77B4E" w:rsidRPr="00E644E6">
        <w:rPr>
          <w:rFonts w:ascii="Calibri" w:hAnsi="Calibri" w:cs="Calibri"/>
        </w:rPr>
        <w:t xml:space="preserve">. </w:t>
      </w:r>
    </w:p>
    <w:p w14:paraId="603DC8B1" w14:textId="77777777" w:rsidR="00D77B4E" w:rsidRPr="00E644E6" w:rsidRDefault="00D77B4E" w:rsidP="003256F5">
      <w:pPr>
        <w:pStyle w:val="Heading3"/>
        <w:rPr>
          <w:rFonts w:ascii="Calibri" w:hAnsi="Calibri" w:cs="Calibri"/>
        </w:rPr>
      </w:pPr>
      <w:r w:rsidRPr="00E644E6">
        <w:rPr>
          <w:rFonts w:ascii="Calibri" w:hAnsi="Calibri" w:cs="Calibri"/>
        </w:rPr>
        <w:t>The Department’s Role</w:t>
      </w:r>
    </w:p>
    <w:p w14:paraId="68C5BE20" w14:textId="5ADEF623" w:rsidR="00D77B4E" w:rsidRPr="00E644E6" w:rsidRDefault="00D77B4E" w:rsidP="00D77B4E">
      <w:pPr>
        <w:jc w:val="both"/>
        <w:rPr>
          <w:rFonts w:ascii="Calibri" w:hAnsi="Calibri" w:cs="Calibri"/>
        </w:rPr>
      </w:pPr>
      <w:r w:rsidRPr="0E358FE3">
        <w:rPr>
          <w:rFonts w:ascii="Calibri" w:hAnsi="Calibri" w:cs="Calibri"/>
          <w:i/>
          <w:iCs/>
        </w:rPr>
        <w:t xml:space="preserve">Departments’ Ratings of Outputs: </w:t>
      </w:r>
      <w:r w:rsidRPr="0E358FE3">
        <w:rPr>
          <w:rFonts w:ascii="Calibri" w:hAnsi="Calibri" w:cs="Calibri"/>
        </w:rPr>
        <w:t xml:space="preserve">Departments will, under the supervision of their faculties, conduct processes to examine research outputs to inform our </w:t>
      </w:r>
      <w:r w:rsidR="0056298B" w:rsidRPr="0E358FE3">
        <w:rPr>
          <w:rFonts w:ascii="Calibri" w:hAnsi="Calibri" w:cs="Calibri"/>
        </w:rPr>
        <w:t xml:space="preserve">initial </w:t>
      </w:r>
      <w:r w:rsidRPr="0E358FE3">
        <w:rPr>
          <w:rFonts w:ascii="Calibri" w:hAnsi="Calibri" w:cs="Calibri"/>
        </w:rPr>
        <w:t xml:space="preserve">estimation </w:t>
      </w:r>
      <w:r w:rsidR="00891763" w:rsidRPr="0E358FE3">
        <w:rPr>
          <w:rFonts w:ascii="Calibri" w:hAnsi="Calibri" w:cs="Calibri"/>
        </w:rPr>
        <w:t xml:space="preserve">for each output </w:t>
      </w:r>
      <w:r w:rsidRPr="0E358FE3">
        <w:rPr>
          <w:rFonts w:ascii="Calibri" w:hAnsi="Calibri" w:cs="Calibri"/>
        </w:rPr>
        <w:t xml:space="preserve">of the most likely ratings in the REF exercise. It is acknowledged that this is not a perfect </w:t>
      </w:r>
      <w:r w:rsidR="00891763" w:rsidRPr="0E358FE3">
        <w:rPr>
          <w:rFonts w:ascii="Calibri" w:hAnsi="Calibri" w:cs="Calibri"/>
        </w:rPr>
        <w:t>process,</w:t>
      </w:r>
      <w:r w:rsidRPr="0E358FE3">
        <w:rPr>
          <w:rFonts w:ascii="Calibri" w:hAnsi="Calibri" w:cs="Calibri"/>
        </w:rPr>
        <w:t xml:space="preserve"> and any review can only provide the most likely rating for an individual </w:t>
      </w:r>
      <w:r w:rsidR="002F4F8F" w:rsidRPr="0E358FE3">
        <w:rPr>
          <w:rFonts w:ascii="Calibri" w:hAnsi="Calibri" w:cs="Calibri"/>
        </w:rPr>
        <w:t>output,</w:t>
      </w:r>
      <w:r w:rsidRPr="0E358FE3">
        <w:rPr>
          <w:rFonts w:ascii="Calibri" w:hAnsi="Calibri" w:cs="Calibri"/>
        </w:rPr>
        <w:t xml:space="preserve"> but we </w:t>
      </w:r>
      <w:r w:rsidR="002F4F8F" w:rsidRPr="0E358FE3">
        <w:rPr>
          <w:rFonts w:ascii="Calibri" w:hAnsi="Calibri" w:cs="Calibri"/>
        </w:rPr>
        <w:t>should</w:t>
      </w:r>
      <w:r w:rsidRPr="0E358FE3">
        <w:rPr>
          <w:rFonts w:ascii="Calibri" w:hAnsi="Calibri" w:cs="Calibri"/>
        </w:rPr>
        <w:t xml:space="preserve"> endeavour to make the process as </w:t>
      </w:r>
      <w:r w:rsidR="002E2D17" w:rsidRPr="0E358FE3">
        <w:rPr>
          <w:rFonts w:ascii="Calibri" w:hAnsi="Calibri" w:cs="Calibri"/>
        </w:rPr>
        <w:t>realistic as we can</w:t>
      </w:r>
      <w:r w:rsidRPr="0E358FE3">
        <w:rPr>
          <w:rFonts w:ascii="Calibri" w:hAnsi="Calibri" w:cs="Calibri"/>
        </w:rPr>
        <w:t xml:space="preserve">. This will require iteration over the next </w:t>
      </w:r>
      <w:r w:rsidR="00FC25C5" w:rsidRPr="0E358FE3">
        <w:rPr>
          <w:rFonts w:ascii="Calibri" w:hAnsi="Calibri" w:cs="Calibri"/>
        </w:rPr>
        <w:t>four</w:t>
      </w:r>
      <w:r w:rsidRPr="0E358FE3">
        <w:rPr>
          <w:rFonts w:ascii="Calibri" w:hAnsi="Calibri" w:cs="Calibri"/>
        </w:rPr>
        <w:t xml:space="preserve"> years up to the submission as we consider these outputs in more detail. Departments may use a mix of internal peer review, senior </w:t>
      </w:r>
      <w:r w:rsidR="00EF5D47" w:rsidRPr="0E358FE3">
        <w:rPr>
          <w:rFonts w:ascii="Calibri" w:hAnsi="Calibri" w:cs="Calibri"/>
        </w:rPr>
        <w:t xml:space="preserve">department </w:t>
      </w:r>
      <w:r w:rsidRPr="0E358FE3">
        <w:rPr>
          <w:rFonts w:ascii="Calibri" w:hAnsi="Calibri" w:cs="Calibri"/>
        </w:rPr>
        <w:t>staff with experience of the REF or</w:t>
      </w:r>
      <w:r w:rsidR="00EF5D47" w:rsidRPr="0E358FE3">
        <w:rPr>
          <w:rFonts w:ascii="Calibri" w:hAnsi="Calibri" w:cs="Calibri"/>
        </w:rPr>
        <w:t xml:space="preserve"> staff</w:t>
      </w:r>
      <w:r w:rsidRPr="0E358FE3">
        <w:rPr>
          <w:rFonts w:ascii="Calibri" w:hAnsi="Calibri" w:cs="Calibri"/>
        </w:rPr>
        <w:t xml:space="preserve"> </w:t>
      </w:r>
      <w:r w:rsidR="00EF5D47" w:rsidRPr="0E358FE3">
        <w:rPr>
          <w:rFonts w:ascii="Calibri" w:hAnsi="Calibri" w:cs="Calibri"/>
        </w:rPr>
        <w:t>from</w:t>
      </w:r>
      <w:r w:rsidRPr="0E358FE3">
        <w:rPr>
          <w:rFonts w:ascii="Calibri" w:hAnsi="Calibri" w:cs="Calibri"/>
        </w:rPr>
        <w:t xml:space="preserve"> other relevant departments, and external expert review. It is recognised that this will generate a range of opinions on each output that the university will use to form their assessment as to which outputs should be </w:t>
      </w:r>
      <w:r w:rsidR="17E9C904" w:rsidRPr="0E358FE3">
        <w:rPr>
          <w:rFonts w:ascii="Calibri" w:hAnsi="Calibri" w:cs="Calibri"/>
        </w:rPr>
        <w:t xml:space="preserve">submitted </w:t>
      </w:r>
      <w:r w:rsidRPr="0E358FE3">
        <w:rPr>
          <w:rFonts w:ascii="Calibri" w:hAnsi="Calibri" w:cs="Calibri"/>
        </w:rPr>
        <w:t xml:space="preserve">to the REF </w:t>
      </w:r>
      <w:proofErr w:type="gramStart"/>
      <w:r w:rsidRPr="0E358FE3">
        <w:rPr>
          <w:rFonts w:ascii="Calibri" w:hAnsi="Calibri" w:cs="Calibri"/>
        </w:rPr>
        <w:t>in order to</w:t>
      </w:r>
      <w:proofErr w:type="gramEnd"/>
      <w:r w:rsidRPr="0E358FE3">
        <w:rPr>
          <w:rFonts w:ascii="Calibri" w:hAnsi="Calibri" w:cs="Calibri"/>
        </w:rPr>
        <w:t xml:space="preserve"> maximise our position.</w:t>
      </w:r>
    </w:p>
    <w:p w14:paraId="051BCC70" w14:textId="77777777" w:rsidR="00D77B4E" w:rsidRPr="00820431" w:rsidRDefault="00D77B4E" w:rsidP="00D77B4E">
      <w:pPr>
        <w:jc w:val="both"/>
        <w:rPr>
          <w:rFonts w:ascii="Calibri" w:hAnsi="Calibri" w:cs="Calibri"/>
        </w:rPr>
      </w:pPr>
      <w:r w:rsidRPr="00820431">
        <w:rPr>
          <w:rFonts w:ascii="Calibri" w:hAnsi="Calibri" w:cs="Calibri"/>
        </w:rPr>
        <w:t xml:space="preserve">Heads of Department will ensure that mentoring and developmental support is provided to academic staff, based on the emergent outcomes of the ratings review process. Guided by the outcomes of this process, constructive feedback will be provided to individual staff in a supportive manner.  In some cases, Heads of Department may identify individuals who could benefit from additional support to help their professional development. It is important that such advice is provided within departments in a developmental and supportive manner. </w:t>
      </w:r>
    </w:p>
    <w:p w14:paraId="0FF40834" w14:textId="77777777" w:rsidR="00D77B4E" w:rsidRPr="00E644E6" w:rsidRDefault="00D77B4E" w:rsidP="00D77B4E">
      <w:pPr>
        <w:jc w:val="both"/>
        <w:rPr>
          <w:rFonts w:ascii="Calibri" w:hAnsi="Calibri" w:cs="Calibri"/>
        </w:rPr>
      </w:pPr>
      <w:r w:rsidRPr="00820431">
        <w:rPr>
          <w:rFonts w:ascii="Calibri" w:hAnsi="Calibri" w:cs="Calibri"/>
        </w:rPr>
        <w:lastRenderedPageBreak/>
        <w:t>These internal estimates of the ratings of outputs used in preparation for the REF will not be used in promotion or probation cases for individuals, as these are approximations used to guide this specific REF process.</w:t>
      </w:r>
      <w:r w:rsidRPr="00E644E6">
        <w:rPr>
          <w:rFonts w:ascii="Calibri" w:hAnsi="Calibri" w:cs="Calibri"/>
        </w:rPr>
        <w:t xml:space="preserve"> </w:t>
      </w:r>
    </w:p>
    <w:p w14:paraId="24BA5636" w14:textId="77777777" w:rsidR="00D77B4E" w:rsidRPr="00E644E6" w:rsidRDefault="00D77B4E" w:rsidP="00D77B4E">
      <w:pPr>
        <w:jc w:val="both"/>
        <w:rPr>
          <w:rFonts w:ascii="Calibri" w:hAnsi="Calibri" w:cs="Calibri"/>
        </w:rPr>
      </w:pPr>
      <w:r w:rsidRPr="00E644E6">
        <w:rPr>
          <w:rFonts w:ascii="Calibri" w:hAnsi="Calibri" w:cs="Calibri"/>
        </w:rPr>
        <w:t>It is important that we begin looking at outputs now for several reasons:</w:t>
      </w:r>
    </w:p>
    <w:p w14:paraId="1EFBD388" w14:textId="4B137F72" w:rsidR="00772705" w:rsidRPr="00E644E6" w:rsidRDefault="00772705" w:rsidP="00D77B4E">
      <w:pPr>
        <w:pStyle w:val="ListParagraph"/>
        <w:numPr>
          <w:ilvl w:val="0"/>
          <w:numId w:val="14"/>
        </w:numPr>
        <w:spacing w:after="0" w:line="240" w:lineRule="auto"/>
        <w:jc w:val="both"/>
        <w:rPr>
          <w:rFonts w:ascii="Calibri" w:hAnsi="Calibri" w:cs="Calibri"/>
        </w:rPr>
      </w:pPr>
      <w:r w:rsidRPr="00E644E6">
        <w:rPr>
          <w:rFonts w:ascii="Calibri" w:hAnsi="Calibri" w:cs="Calibri"/>
        </w:rPr>
        <w:t>The REF publication perio</w:t>
      </w:r>
      <w:r w:rsidR="00E7526C" w:rsidRPr="00E644E6">
        <w:rPr>
          <w:rFonts w:ascii="Calibri" w:hAnsi="Calibri" w:cs="Calibri"/>
        </w:rPr>
        <w:t>d</w:t>
      </w:r>
      <w:r w:rsidRPr="00E644E6">
        <w:rPr>
          <w:rFonts w:ascii="Calibri" w:hAnsi="Calibri" w:cs="Calibri"/>
        </w:rPr>
        <w:t xml:space="preserve"> began on 1 Januar</w:t>
      </w:r>
      <w:r w:rsidR="00E7526C" w:rsidRPr="00E644E6">
        <w:rPr>
          <w:rFonts w:ascii="Calibri" w:hAnsi="Calibri" w:cs="Calibri"/>
        </w:rPr>
        <w:t>y 202</w:t>
      </w:r>
      <w:r w:rsidR="00832EE4" w:rsidRPr="00E644E6">
        <w:rPr>
          <w:rFonts w:ascii="Calibri" w:hAnsi="Calibri" w:cs="Calibri"/>
        </w:rPr>
        <w:t>1.</w:t>
      </w:r>
    </w:p>
    <w:p w14:paraId="1B8A1502" w14:textId="17792E8F" w:rsidR="00D77B4E" w:rsidRPr="00E644E6" w:rsidRDefault="00D77B4E" w:rsidP="00D77B4E">
      <w:pPr>
        <w:pStyle w:val="ListParagraph"/>
        <w:numPr>
          <w:ilvl w:val="0"/>
          <w:numId w:val="14"/>
        </w:numPr>
        <w:spacing w:after="0" w:line="240" w:lineRule="auto"/>
        <w:jc w:val="both"/>
        <w:rPr>
          <w:rFonts w:ascii="Calibri" w:hAnsi="Calibri" w:cs="Calibri"/>
        </w:rPr>
      </w:pPr>
      <w:r w:rsidRPr="00E644E6">
        <w:rPr>
          <w:rFonts w:ascii="Calibri" w:hAnsi="Calibri" w:cs="Calibri"/>
        </w:rPr>
        <w:t xml:space="preserve">We need to identify whether the outputs being considered are eligible for submission according to the various open access and other publication criteria set out by </w:t>
      </w:r>
      <w:r w:rsidR="00772705" w:rsidRPr="00E644E6">
        <w:rPr>
          <w:rFonts w:ascii="Calibri" w:hAnsi="Calibri" w:cs="Calibri"/>
        </w:rPr>
        <w:t>Research England</w:t>
      </w:r>
      <w:r w:rsidRPr="00E644E6">
        <w:rPr>
          <w:rFonts w:ascii="Calibri" w:hAnsi="Calibri" w:cs="Calibri"/>
        </w:rPr>
        <w:t xml:space="preserve">. There is a large volume of work required across the university because of the high number of outputs to be reviewed </w:t>
      </w:r>
      <w:proofErr w:type="gramStart"/>
      <w:r w:rsidRPr="00E644E6">
        <w:rPr>
          <w:rFonts w:ascii="Calibri" w:hAnsi="Calibri" w:cs="Calibri"/>
        </w:rPr>
        <w:t>in order to</w:t>
      </w:r>
      <w:proofErr w:type="gramEnd"/>
      <w:r w:rsidRPr="00E644E6">
        <w:rPr>
          <w:rFonts w:ascii="Calibri" w:hAnsi="Calibri" w:cs="Calibri"/>
        </w:rPr>
        <w:t xml:space="preserve"> select those for submission. All outputs considered for REF will require</w:t>
      </w:r>
      <w:r w:rsidR="00C20919" w:rsidRPr="00E644E6">
        <w:rPr>
          <w:rFonts w:ascii="Calibri" w:hAnsi="Calibri" w:cs="Calibri"/>
        </w:rPr>
        <w:t xml:space="preserve"> initial</w:t>
      </w:r>
      <w:r w:rsidRPr="00E644E6">
        <w:rPr>
          <w:rFonts w:ascii="Calibri" w:hAnsi="Calibri" w:cs="Calibri"/>
        </w:rPr>
        <w:t xml:space="preserve"> </w:t>
      </w:r>
      <w:r w:rsidR="00C20919" w:rsidRPr="00E644E6">
        <w:rPr>
          <w:rFonts w:ascii="Calibri" w:hAnsi="Calibri" w:cs="Calibri"/>
        </w:rPr>
        <w:t>checks based on current information but when final guidance is released this could change.</w:t>
      </w:r>
    </w:p>
    <w:p w14:paraId="1B54BAD5" w14:textId="6168FAAB" w:rsidR="00D77B4E" w:rsidRPr="00E644E6" w:rsidRDefault="00D77B4E" w:rsidP="00D77B4E">
      <w:pPr>
        <w:pStyle w:val="ListParagraph"/>
        <w:numPr>
          <w:ilvl w:val="0"/>
          <w:numId w:val="14"/>
        </w:numPr>
        <w:spacing w:after="0" w:line="240" w:lineRule="auto"/>
        <w:jc w:val="both"/>
        <w:rPr>
          <w:rFonts w:ascii="Calibri" w:hAnsi="Calibri" w:cs="Calibri"/>
        </w:rPr>
      </w:pPr>
      <w:r w:rsidRPr="00E644E6">
        <w:rPr>
          <w:rFonts w:ascii="Calibri" w:hAnsi="Calibri" w:cs="Calibri"/>
        </w:rPr>
        <w:t>Where staff can benefit from mentoring and further</w:t>
      </w:r>
      <w:r w:rsidR="00B63748">
        <w:rPr>
          <w:rFonts w:ascii="Calibri" w:hAnsi="Calibri" w:cs="Calibri"/>
        </w:rPr>
        <w:t xml:space="preserve"> development or training</w:t>
      </w:r>
      <w:r w:rsidRPr="00E644E6">
        <w:rPr>
          <w:rFonts w:ascii="Calibri" w:hAnsi="Calibri" w:cs="Calibri"/>
        </w:rPr>
        <w:t xml:space="preserve"> this can be targeted appropriately and in a timely manner</w:t>
      </w:r>
      <w:r w:rsidR="000453E9">
        <w:rPr>
          <w:rFonts w:ascii="Calibri" w:hAnsi="Calibri" w:cs="Calibri"/>
        </w:rPr>
        <w:t>.</w:t>
      </w:r>
      <w:r w:rsidR="002F4F8F" w:rsidRPr="00E644E6">
        <w:rPr>
          <w:rFonts w:ascii="Calibri" w:hAnsi="Calibri" w:cs="Calibri"/>
        </w:rPr>
        <w:t xml:space="preserve"> </w:t>
      </w:r>
    </w:p>
    <w:p w14:paraId="2A0C5D3D" w14:textId="7F0F8B34" w:rsidR="00660BB0" w:rsidRDefault="00D77B4E" w:rsidP="00660BB0">
      <w:pPr>
        <w:spacing w:after="0" w:line="240" w:lineRule="auto"/>
        <w:jc w:val="both"/>
        <w:rPr>
          <w:rFonts w:ascii="Calibri" w:hAnsi="Calibri" w:cs="Calibri"/>
        </w:rPr>
      </w:pPr>
      <w:r w:rsidRPr="00E644E6">
        <w:rPr>
          <w:rFonts w:ascii="Calibri" w:hAnsi="Calibri" w:cs="Calibri"/>
        </w:rPr>
        <w:t xml:space="preserve">We need to identify those outputs which are most likely to be rated as </w:t>
      </w:r>
      <w:r w:rsidR="00772705" w:rsidRPr="00E644E6">
        <w:rPr>
          <w:rFonts w:ascii="Calibri" w:hAnsi="Calibri" w:cs="Calibri"/>
        </w:rPr>
        <w:t>4*</w:t>
      </w:r>
      <w:r w:rsidRPr="00E644E6">
        <w:rPr>
          <w:rFonts w:ascii="Calibri" w:hAnsi="Calibri" w:cs="Calibri"/>
        </w:rPr>
        <w:t>, and this will require a great deal of discussion and reflection to select the appropriate output</w:t>
      </w:r>
      <w:r w:rsidR="00A5181C">
        <w:rPr>
          <w:rFonts w:ascii="Calibri" w:hAnsi="Calibri" w:cs="Calibri"/>
        </w:rPr>
        <w:t>s</w:t>
      </w:r>
      <w:r w:rsidR="00E451F9">
        <w:rPr>
          <w:rFonts w:ascii="Calibri" w:hAnsi="Calibri" w:cs="Calibri"/>
        </w:rPr>
        <w:t>.</w:t>
      </w:r>
    </w:p>
    <w:p w14:paraId="395FDBC3" w14:textId="77777777" w:rsidR="00684002" w:rsidRDefault="00684002" w:rsidP="00660BB0">
      <w:pPr>
        <w:spacing w:after="0" w:line="240" w:lineRule="auto"/>
        <w:jc w:val="both"/>
        <w:rPr>
          <w:rFonts w:ascii="Calibri" w:hAnsi="Calibri" w:cs="Calibri"/>
        </w:rPr>
      </w:pPr>
    </w:p>
    <w:p w14:paraId="2D0F63E5" w14:textId="15D8BF92" w:rsidR="00660BB0" w:rsidRDefault="00660BB0" w:rsidP="0E358FE3">
      <w:pPr>
        <w:spacing w:after="0" w:line="240" w:lineRule="auto"/>
        <w:jc w:val="both"/>
        <w:rPr>
          <w:rFonts w:ascii="Calibri" w:hAnsi="Calibri" w:cs="Calibri"/>
        </w:rPr>
      </w:pPr>
      <w:r w:rsidRPr="0E358FE3">
        <w:rPr>
          <w:rFonts w:ascii="Calibri" w:hAnsi="Calibri" w:cs="Calibri"/>
        </w:rPr>
        <w:t>Departments are required to</w:t>
      </w:r>
      <w:r w:rsidR="00684002" w:rsidRPr="0E358FE3">
        <w:rPr>
          <w:rFonts w:ascii="Calibri" w:hAnsi="Calibri" w:cs="Calibri"/>
        </w:rPr>
        <w:t xml:space="preserve"> </w:t>
      </w:r>
      <w:r w:rsidR="00E10043" w:rsidRPr="0E358FE3">
        <w:rPr>
          <w:rFonts w:ascii="Calibri" w:hAnsi="Calibri" w:cs="Calibri"/>
        </w:rPr>
        <w:t>propose</w:t>
      </w:r>
      <w:r w:rsidR="00684002" w:rsidRPr="0E358FE3">
        <w:rPr>
          <w:rFonts w:ascii="Calibri" w:hAnsi="Calibri" w:cs="Calibri"/>
        </w:rPr>
        <w:t xml:space="preserve"> some</w:t>
      </w:r>
      <w:r w:rsidRPr="0E358FE3">
        <w:rPr>
          <w:rFonts w:ascii="Calibri" w:hAnsi="Calibri" w:cs="Calibri"/>
        </w:rPr>
        <w:t xml:space="preserve"> outputs for </w:t>
      </w:r>
      <w:r w:rsidR="00684002" w:rsidRPr="0E358FE3">
        <w:rPr>
          <w:rFonts w:ascii="Calibri" w:hAnsi="Calibri" w:cs="Calibri"/>
        </w:rPr>
        <w:t>e</w:t>
      </w:r>
      <w:r w:rsidRPr="0E358FE3">
        <w:rPr>
          <w:rFonts w:ascii="Calibri" w:hAnsi="Calibri" w:cs="Calibri"/>
        </w:rPr>
        <w:t>xternal review</w:t>
      </w:r>
      <w:r w:rsidR="00C73DD8" w:rsidRPr="0E358FE3">
        <w:rPr>
          <w:rFonts w:ascii="Calibri" w:hAnsi="Calibri" w:cs="Calibri"/>
        </w:rPr>
        <w:t xml:space="preserve">, this process cannot be </w:t>
      </w:r>
      <w:r w:rsidR="00284650" w:rsidRPr="0E358FE3">
        <w:rPr>
          <w:rFonts w:ascii="Calibri" w:hAnsi="Calibri" w:cs="Calibri"/>
        </w:rPr>
        <w:t>managed</w:t>
      </w:r>
      <w:r w:rsidR="00C73DD8" w:rsidRPr="0E358FE3">
        <w:rPr>
          <w:rFonts w:ascii="Calibri" w:hAnsi="Calibri" w:cs="Calibri"/>
        </w:rPr>
        <w:t xml:space="preserve"> in PURE </w:t>
      </w:r>
      <w:r w:rsidR="003972B6" w:rsidRPr="0E358FE3">
        <w:rPr>
          <w:rFonts w:ascii="Calibri" w:hAnsi="Calibri" w:cs="Calibri"/>
        </w:rPr>
        <w:t>currently</w:t>
      </w:r>
      <w:r w:rsidR="00A4273A" w:rsidRPr="0E358FE3">
        <w:rPr>
          <w:rFonts w:ascii="Calibri" w:hAnsi="Calibri" w:cs="Calibri"/>
        </w:rPr>
        <w:t>.  To ensure outputs are rated equally</w:t>
      </w:r>
      <w:r w:rsidR="00284650" w:rsidRPr="0E358FE3">
        <w:rPr>
          <w:rFonts w:ascii="Calibri" w:hAnsi="Calibri" w:cs="Calibri"/>
        </w:rPr>
        <w:t xml:space="preserve"> and </w:t>
      </w:r>
      <w:r w:rsidR="0067734A" w:rsidRPr="0E358FE3">
        <w:rPr>
          <w:rFonts w:ascii="Calibri" w:hAnsi="Calibri" w:cs="Calibri"/>
        </w:rPr>
        <w:t>independently,</w:t>
      </w:r>
      <w:r w:rsidR="00015A60" w:rsidRPr="0E358FE3">
        <w:rPr>
          <w:rFonts w:ascii="Calibri" w:hAnsi="Calibri" w:cs="Calibri"/>
        </w:rPr>
        <w:t xml:space="preserve"> the following </w:t>
      </w:r>
      <w:proofErr w:type="gramStart"/>
      <w:r w:rsidR="00015A60" w:rsidRPr="0E358FE3">
        <w:rPr>
          <w:rFonts w:ascii="Calibri" w:hAnsi="Calibri" w:cs="Calibri"/>
        </w:rPr>
        <w:t>criteria</w:t>
      </w:r>
      <w:proofErr w:type="gramEnd"/>
      <w:r w:rsidR="1E91C5B7" w:rsidRPr="0E358FE3">
        <w:rPr>
          <w:rFonts w:ascii="Calibri" w:hAnsi="Calibri" w:cs="Calibri"/>
        </w:rPr>
        <w:t xml:space="preserve"> for external reviewers</w:t>
      </w:r>
      <w:r w:rsidR="00015A60" w:rsidRPr="0E358FE3">
        <w:rPr>
          <w:rFonts w:ascii="Calibri" w:hAnsi="Calibri" w:cs="Calibri"/>
        </w:rPr>
        <w:t xml:space="preserve"> is important</w:t>
      </w:r>
      <w:r w:rsidR="00E10043" w:rsidRPr="0E358FE3">
        <w:rPr>
          <w:rFonts w:ascii="Calibri" w:hAnsi="Calibri" w:cs="Calibri"/>
        </w:rPr>
        <w:t xml:space="preserve"> although not essential.</w:t>
      </w:r>
    </w:p>
    <w:p w14:paraId="547AF7BD" w14:textId="23FFAC7B" w:rsidR="00015A60" w:rsidRDefault="00E10043" w:rsidP="00015A60">
      <w:pPr>
        <w:pStyle w:val="ListParagraph"/>
        <w:numPr>
          <w:ilvl w:val="0"/>
          <w:numId w:val="15"/>
        </w:numPr>
        <w:spacing w:after="0" w:line="240" w:lineRule="auto"/>
        <w:jc w:val="both"/>
        <w:rPr>
          <w:rFonts w:ascii="Calibri" w:hAnsi="Calibri" w:cs="Calibri"/>
        </w:rPr>
      </w:pPr>
      <w:r>
        <w:rPr>
          <w:rFonts w:ascii="Calibri" w:hAnsi="Calibri" w:cs="Calibri"/>
        </w:rPr>
        <w:t>Experience</w:t>
      </w:r>
      <w:r w:rsidR="00015A60">
        <w:rPr>
          <w:rFonts w:ascii="Calibri" w:hAnsi="Calibri" w:cs="Calibri"/>
        </w:rPr>
        <w:t xml:space="preserve"> of panels within either REF21 or REF14</w:t>
      </w:r>
    </w:p>
    <w:p w14:paraId="74B41EE4" w14:textId="09F82751" w:rsidR="00015A60" w:rsidRDefault="00015A60" w:rsidP="00820431">
      <w:pPr>
        <w:pStyle w:val="ListParagraph"/>
        <w:numPr>
          <w:ilvl w:val="0"/>
          <w:numId w:val="15"/>
        </w:numPr>
        <w:spacing w:after="0" w:line="240" w:lineRule="auto"/>
        <w:jc w:val="both"/>
        <w:rPr>
          <w:rFonts w:ascii="Calibri" w:hAnsi="Calibri" w:cs="Calibri"/>
        </w:rPr>
      </w:pPr>
      <w:r>
        <w:rPr>
          <w:rFonts w:ascii="Calibri" w:hAnsi="Calibri" w:cs="Calibri"/>
        </w:rPr>
        <w:t>Independent view</w:t>
      </w:r>
    </w:p>
    <w:p w14:paraId="704B1FF7" w14:textId="158FC7DB" w:rsidR="00ED63B1" w:rsidRPr="00820431" w:rsidRDefault="00ED63B1" w:rsidP="00820431">
      <w:pPr>
        <w:pStyle w:val="ListParagraph"/>
        <w:numPr>
          <w:ilvl w:val="0"/>
          <w:numId w:val="15"/>
        </w:numPr>
        <w:spacing w:after="0" w:line="240" w:lineRule="auto"/>
        <w:jc w:val="both"/>
        <w:rPr>
          <w:rFonts w:ascii="Calibri" w:hAnsi="Calibri" w:cs="Calibri"/>
        </w:rPr>
      </w:pPr>
      <w:r>
        <w:rPr>
          <w:rFonts w:ascii="Calibri" w:hAnsi="Calibri" w:cs="Calibri"/>
        </w:rPr>
        <w:t>Knowledge of subject area</w:t>
      </w:r>
    </w:p>
    <w:p w14:paraId="6227F94F" w14:textId="77777777" w:rsidR="00D77B4E" w:rsidRPr="00E644E6" w:rsidRDefault="00D77B4E" w:rsidP="00820431">
      <w:pPr>
        <w:spacing w:after="0" w:line="240" w:lineRule="auto"/>
        <w:jc w:val="both"/>
        <w:rPr>
          <w:rFonts w:ascii="Calibri" w:hAnsi="Calibri" w:cs="Calibri"/>
        </w:rPr>
      </w:pPr>
    </w:p>
    <w:p w14:paraId="329426F7" w14:textId="1E236B61" w:rsidR="00D77B4E" w:rsidRDefault="00D77B4E" w:rsidP="00D77B4E">
      <w:pPr>
        <w:jc w:val="both"/>
        <w:rPr>
          <w:rFonts w:ascii="Calibri" w:hAnsi="Calibri" w:cs="Calibri"/>
        </w:rPr>
      </w:pPr>
      <w:r w:rsidRPr="0E358FE3">
        <w:rPr>
          <w:rFonts w:ascii="Calibri" w:hAnsi="Calibri" w:cs="Calibri"/>
        </w:rPr>
        <w:t xml:space="preserve">Departments are being asked to </w:t>
      </w:r>
      <w:r w:rsidR="008F7AB1" w:rsidRPr="0E358FE3">
        <w:rPr>
          <w:rFonts w:ascii="Calibri" w:hAnsi="Calibri" w:cs="Calibri"/>
        </w:rPr>
        <w:t xml:space="preserve">provide </w:t>
      </w:r>
      <w:r w:rsidRPr="0E358FE3">
        <w:rPr>
          <w:rFonts w:ascii="Calibri" w:hAnsi="Calibri" w:cs="Calibri"/>
        </w:rPr>
        <w:t xml:space="preserve">the information on their provisional output rating estimates by the </w:t>
      </w:r>
      <w:proofErr w:type="gramStart"/>
      <w:r w:rsidR="00ED63B1" w:rsidRPr="00BD7557">
        <w:rPr>
          <w:rFonts w:ascii="Calibri" w:hAnsi="Calibri" w:cs="Calibri"/>
          <w:b/>
          <w:bCs/>
        </w:rPr>
        <w:t>20</w:t>
      </w:r>
      <w:r w:rsidR="00ED63B1" w:rsidRPr="00BD7557">
        <w:rPr>
          <w:rFonts w:ascii="Calibri" w:hAnsi="Calibri" w:cs="Calibri"/>
          <w:b/>
          <w:bCs/>
          <w:vertAlign w:val="superscript"/>
        </w:rPr>
        <w:t>th</w:t>
      </w:r>
      <w:proofErr w:type="gramEnd"/>
      <w:r w:rsidR="00ED63B1" w:rsidRPr="00BD7557">
        <w:rPr>
          <w:rFonts w:ascii="Calibri" w:hAnsi="Calibri" w:cs="Calibri"/>
          <w:b/>
          <w:bCs/>
        </w:rPr>
        <w:t xml:space="preserve"> </w:t>
      </w:r>
      <w:r w:rsidR="009D07D1" w:rsidRPr="00BD7557">
        <w:rPr>
          <w:rFonts w:ascii="Calibri" w:hAnsi="Calibri" w:cs="Calibri"/>
          <w:b/>
          <w:bCs/>
        </w:rPr>
        <w:t>September 202</w:t>
      </w:r>
      <w:r w:rsidR="00DE2660" w:rsidRPr="00BD7557">
        <w:rPr>
          <w:rFonts w:ascii="Calibri" w:hAnsi="Calibri" w:cs="Calibri"/>
          <w:b/>
          <w:bCs/>
        </w:rPr>
        <w:t>4</w:t>
      </w:r>
      <w:r w:rsidR="001C7D11" w:rsidRPr="0E358FE3">
        <w:rPr>
          <w:rFonts w:ascii="Calibri" w:hAnsi="Calibri" w:cs="Calibri"/>
        </w:rPr>
        <w:t>. D</w:t>
      </w:r>
      <w:r w:rsidRPr="0E358FE3">
        <w:rPr>
          <w:rFonts w:ascii="Calibri" w:hAnsi="Calibri" w:cs="Calibri"/>
        </w:rPr>
        <w:t>epartments are required</w:t>
      </w:r>
      <w:r w:rsidR="00A5181C" w:rsidRPr="0E358FE3">
        <w:rPr>
          <w:rFonts w:ascii="Calibri" w:hAnsi="Calibri" w:cs="Calibri"/>
        </w:rPr>
        <w:t xml:space="preserve"> (where possible)</w:t>
      </w:r>
      <w:r w:rsidRPr="0E358FE3">
        <w:rPr>
          <w:rFonts w:ascii="Calibri" w:hAnsi="Calibri" w:cs="Calibri"/>
        </w:rPr>
        <w:t xml:space="preserve"> to record proposed outputs in </w:t>
      </w:r>
      <w:hyperlink r:id="rId6">
        <w:r w:rsidRPr="0E358FE3">
          <w:rPr>
            <w:rStyle w:val="Hyperlink"/>
            <w:rFonts w:ascii="Calibri" w:hAnsi="Calibri" w:cs="Calibri"/>
          </w:rPr>
          <w:t>Pure</w:t>
        </w:r>
      </w:hyperlink>
      <w:r w:rsidRPr="0E358FE3">
        <w:rPr>
          <w:rFonts w:ascii="Calibri" w:hAnsi="Calibri" w:cs="Calibri"/>
        </w:rPr>
        <w:t xml:space="preserve"> so that the </w:t>
      </w:r>
      <w:hyperlink r:id="rId7">
        <w:r w:rsidRPr="0E358FE3">
          <w:rPr>
            <w:rStyle w:val="Hyperlink"/>
            <w:rFonts w:ascii="Calibri" w:hAnsi="Calibri" w:cs="Calibri"/>
          </w:rPr>
          <w:t>Library</w:t>
        </w:r>
      </w:hyperlink>
      <w:r w:rsidRPr="0E358FE3">
        <w:rPr>
          <w:rFonts w:ascii="Calibri" w:hAnsi="Calibri" w:cs="Calibri"/>
        </w:rPr>
        <w:t xml:space="preserve"> can start the process of checking the eligibility of those outputs. </w:t>
      </w:r>
    </w:p>
    <w:p w14:paraId="00CE456D" w14:textId="39542DDC" w:rsidR="00014DCE" w:rsidRDefault="00014DCE" w:rsidP="00014DCE">
      <w:pPr>
        <w:pStyle w:val="Heading2"/>
      </w:pPr>
      <w:r>
        <w:t xml:space="preserve">Scoring </w:t>
      </w:r>
    </w:p>
    <w:p w14:paraId="2777AAE0" w14:textId="77777777" w:rsidR="00334FF9" w:rsidRDefault="004C3274" w:rsidP="003F394E">
      <w:pPr>
        <w:rPr>
          <w:rFonts w:ascii="Calibri" w:hAnsi="Calibri" w:cs="Calibri"/>
        </w:rPr>
      </w:pPr>
      <w:r w:rsidRPr="0E358FE3">
        <w:rPr>
          <w:rFonts w:ascii="Calibri" w:hAnsi="Calibri" w:cs="Calibri"/>
        </w:rPr>
        <w:t xml:space="preserve">All outputs will be scored on a </w:t>
      </w:r>
      <w:proofErr w:type="gramStart"/>
      <w:r w:rsidRPr="0E358FE3">
        <w:rPr>
          <w:rFonts w:ascii="Calibri" w:hAnsi="Calibri" w:cs="Calibri"/>
        </w:rPr>
        <w:t>13 point</w:t>
      </w:r>
      <w:proofErr w:type="gramEnd"/>
      <w:r w:rsidRPr="0E358FE3">
        <w:rPr>
          <w:rFonts w:ascii="Calibri" w:hAnsi="Calibri" w:cs="Calibri"/>
        </w:rPr>
        <w:t xml:space="preserve"> scale. </w:t>
      </w:r>
      <w:r w:rsidR="002E2D17" w:rsidRPr="0E358FE3">
        <w:rPr>
          <w:rFonts w:ascii="Calibri" w:hAnsi="Calibri" w:cs="Calibri"/>
        </w:rPr>
        <w:t>This will be broken down as</w:t>
      </w:r>
    </w:p>
    <w:tbl>
      <w:tblPr>
        <w:tblW w:w="0" w:type="auto"/>
        <w:tblLayout w:type="fixed"/>
        <w:tblLook w:val="06A0" w:firstRow="1" w:lastRow="0" w:firstColumn="1" w:lastColumn="0" w:noHBand="1" w:noVBand="1"/>
      </w:tblPr>
      <w:tblGrid>
        <w:gridCol w:w="585"/>
        <w:gridCol w:w="580"/>
        <w:gridCol w:w="583"/>
        <w:gridCol w:w="587"/>
        <w:gridCol w:w="583"/>
        <w:gridCol w:w="586"/>
        <w:gridCol w:w="587"/>
        <w:gridCol w:w="583"/>
        <w:gridCol w:w="586"/>
        <w:gridCol w:w="585"/>
        <w:gridCol w:w="580"/>
        <w:gridCol w:w="583"/>
        <w:gridCol w:w="2008"/>
      </w:tblGrid>
      <w:tr w:rsidR="0E358FE3" w14:paraId="7C1FF7B7" w14:textId="77777777" w:rsidTr="0E358FE3">
        <w:trPr>
          <w:trHeight w:val="300"/>
        </w:trPr>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1ED289" w14:textId="4B6238FE"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4+</w:t>
            </w:r>
          </w:p>
        </w:tc>
        <w:tc>
          <w:tcPr>
            <w:tcW w:w="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1D7C13" w14:textId="50D80205"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4</w:t>
            </w:r>
          </w:p>
        </w:tc>
        <w:tc>
          <w:tcPr>
            <w:tcW w:w="5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6AE0B0" w14:textId="23B18940"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4-</w:t>
            </w: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447411" w14:textId="1243C607"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3+</w:t>
            </w:r>
          </w:p>
        </w:tc>
        <w:tc>
          <w:tcPr>
            <w:tcW w:w="5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E0F9D" w14:textId="3F898302"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3</w:t>
            </w:r>
          </w:p>
        </w:tc>
        <w:tc>
          <w:tcPr>
            <w:tcW w:w="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074F03" w14:textId="55E6268B"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3-</w:t>
            </w:r>
          </w:p>
        </w:tc>
        <w:tc>
          <w:tcPr>
            <w:tcW w:w="5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F3B780" w14:textId="7DB04B71"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2+</w:t>
            </w:r>
          </w:p>
        </w:tc>
        <w:tc>
          <w:tcPr>
            <w:tcW w:w="5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BEB7F4" w14:textId="3A5BD21E"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2</w:t>
            </w:r>
          </w:p>
        </w:tc>
        <w:tc>
          <w:tcPr>
            <w:tcW w:w="5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4E3910" w14:textId="16CC5E87"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2-</w:t>
            </w:r>
          </w:p>
        </w:tc>
        <w:tc>
          <w:tcPr>
            <w:tcW w:w="58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093363" w14:textId="23A259ED"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1+</w:t>
            </w:r>
          </w:p>
        </w:tc>
        <w:tc>
          <w:tcPr>
            <w:tcW w:w="5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3A4997" w14:textId="44507FFE"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1</w:t>
            </w:r>
          </w:p>
        </w:tc>
        <w:tc>
          <w:tcPr>
            <w:tcW w:w="5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76D9F4" w14:textId="0A844522"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1-</w:t>
            </w:r>
          </w:p>
        </w:tc>
        <w:tc>
          <w:tcPr>
            <w:tcW w:w="20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33128D" w14:textId="4BC98FC3" w:rsidR="0E358FE3" w:rsidRDefault="0E358FE3" w:rsidP="00BD7557">
            <w:pPr>
              <w:spacing w:after="0"/>
              <w:jc w:val="center"/>
              <w:rPr>
                <w:rFonts w:ascii="Aptos Narrow" w:eastAsia="Aptos Narrow" w:hAnsi="Aptos Narrow" w:cs="Aptos Narrow"/>
                <w:b/>
                <w:bCs/>
                <w:color w:val="000000" w:themeColor="text1"/>
                <w:sz w:val="22"/>
                <w:szCs w:val="22"/>
              </w:rPr>
            </w:pPr>
            <w:r w:rsidRPr="0E358FE3">
              <w:rPr>
                <w:rFonts w:ascii="Aptos Narrow" w:eastAsia="Aptos Narrow" w:hAnsi="Aptos Narrow" w:cs="Aptos Narrow"/>
                <w:b/>
                <w:bCs/>
                <w:color w:val="000000" w:themeColor="text1"/>
                <w:sz w:val="22"/>
                <w:szCs w:val="22"/>
              </w:rPr>
              <w:t>0 (ungraded)</w:t>
            </w:r>
          </w:p>
        </w:tc>
      </w:tr>
      <w:tr w:rsidR="0E358FE3" w14:paraId="3A9E1269" w14:textId="77777777" w:rsidTr="0E358FE3">
        <w:trPr>
          <w:trHeight w:val="1725"/>
        </w:trPr>
        <w:tc>
          <w:tcPr>
            <w:tcW w:w="1748" w:type="dxa"/>
            <w:gridSpan w:val="3"/>
            <w:tcBorders>
              <w:top w:val="single" w:sz="4" w:space="0" w:color="auto"/>
              <w:left w:val="single" w:sz="4" w:space="0" w:color="auto"/>
              <w:bottom w:val="single" w:sz="4" w:space="0" w:color="auto"/>
              <w:right w:val="single" w:sz="4" w:space="0" w:color="auto"/>
            </w:tcBorders>
            <w:tcMar>
              <w:top w:w="15" w:type="dxa"/>
              <w:left w:w="15" w:type="dxa"/>
              <w:right w:w="15" w:type="dxa"/>
            </w:tcMar>
          </w:tcPr>
          <w:p w14:paraId="261C48FC" w14:textId="53B8C27C" w:rsidR="0E358FE3" w:rsidRDefault="0E358FE3" w:rsidP="00BD7557">
            <w:pPr>
              <w:spacing w:after="0"/>
              <w:jc w:val="center"/>
              <w:rPr>
                <w:rFonts w:ascii="Aptos Narrow" w:eastAsia="Aptos Narrow" w:hAnsi="Aptos Narrow" w:cs="Aptos Narrow"/>
                <w:color w:val="000000" w:themeColor="text1"/>
                <w:sz w:val="22"/>
                <w:szCs w:val="22"/>
              </w:rPr>
            </w:pPr>
            <w:r w:rsidRPr="0E358FE3">
              <w:rPr>
                <w:rFonts w:ascii="Aptos Narrow" w:eastAsia="Aptos Narrow" w:hAnsi="Aptos Narrow" w:cs="Aptos Narrow"/>
                <w:color w:val="000000" w:themeColor="text1"/>
                <w:sz w:val="22"/>
                <w:szCs w:val="22"/>
              </w:rPr>
              <w:t xml:space="preserve">Quality that is world-leading in terms of originality, </w:t>
            </w:r>
            <w:proofErr w:type="gramStart"/>
            <w:r w:rsidRPr="0E358FE3">
              <w:rPr>
                <w:rFonts w:ascii="Aptos Narrow" w:eastAsia="Aptos Narrow" w:hAnsi="Aptos Narrow" w:cs="Aptos Narrow"/>
                <w:color w:val="000000" w:themeColor="text1"/>
                <w:sz w:val="22"/>
                <w:szCs w:val="22"/>
              </w:rPr>
              <w:t>significance</w:t>
            </w:r>
            <w:proofErr w:type="gramEnd"/>
            <w:r w:rsidRPr="0E358FE3">
              <w:rPr>
                <w:rFonts w:ascii="Aptos Narrow" w:eastAsia="Aptos Narrow" w:hAnsi="Aptos Narrow" w:cs="Aptos Narrow"/>
                <w:color w:val="000000" w:themeColor="text1"/>
                <w:sz w:val="22"/>
                <w:szCs w:val="22"/>
              </w:rPr>
              <w:t xml:space="preserve"> and rigour.</w:t>
            </w:r>
          </w:p>
        </w:tc>
        <w:tc>
          <w:tcPr>
            <w:tcW w:w="1756" w:type="dxa"/>
            <w:gridSpan w:val="3"/>
            <w:tcBorders>
              <w:top w:val="single" w:sz="4" w:space="0" w:color="auto"/>
              <w:left w:val="nil"/>
              <w:bottom w:val="single" w:sz="4" w:space="0" w:color="auto"/>
              <w:right w:val="single" w:sz="4" w:space="0" w:color="000000" w:themeColor="text1"/>
            </w:tcBorders>
            <w:tcMar>
              <w:top w:w="15" w:type="dxa"/>
              <w:left w:w="15" w:type="dxa"/>
              <w:right w:w="15" w:type="dxa"/>
            </w:tcMar>
          </w:tcPr>
          <w:p w14:paraId="79334064" w14:textId="412861F0" w:rsidR="0E358FE3" w:rsidRDefault="0E358FE3" w:rsidP="00BD7557">
            <w:pPr>
              <w:spacing w:after="0"/>
              <w:jc w:val="center"/>
              <w:rPr>
                <w:rFonts w:ascii="Aptos Narrow" w:eastAsia="Aptos Narrow" w:hAnsi="Aptos Narrow" w:cs="Aptos Narrow"/>
                <w:color w:val="000000" w:themeColor="text1"/>
                <w:sz w:val="22"/>
                <w:szCs w:val="22"/>
              </w:rPr>
            </w:pPr>
            <w:r w:rsidRPr="0E358FE3">
              <w:rPr>
                <w:rFonts w:ascii="Aptos Narrow" w:eastAsia="Aptos Narrow" w:hAnsi="Aptos Narrow" w:cs="Aptos Narrow"/>
                <w:color w:val="000000" w:themeColor="text1"/>
                <w:sz w:val="22"/>
                <w:szCs w:val="22"/>
              </w:rPr>
              <w:t xml:space="preserve">Quality that is internationally excellent in terms of originality, </w:t>
            </w:r>
            <w:proofErr w:type="gramStart"/>
            <w:r w:rsidRPr="0E358FE3">
              <w:rPr>
                <w:rFonts w:ascii="Aptos Narrow" w:eastAsia="Aptos Narrow" w:hAnsi="Aptos Narrow" w:cs="Aptos Narrow"/>
                <w:color w:val="000000" w:themeColor="text1"/>
                <w:sz w:val="22"/>
                <w:szCs w:val="22"/>
              </w:rPr>
              <w:t>significance</w:t>
            </w:r>
            <w:proofErr w:type="gramEnd"/>
            <w:r w:rsidRPr="0E358FE3">
              <w:rPr>
                <w:rFonts w:ascii="Aptos Narrow" w:eastAsia="Aptos Narrow" w:hAnsi="Aptos Narrow" w:cs="Aptos Narrow"/>
                <w:color w:val="000000" w:themeColor="text1"/>
                <w:sz w:val="22"/>
                <w:szCs w:val="22"/>
              </w:rPr>
              <w:t xml:space="preserve"> and rigour but which falls short of the highest standards of excellence.</w:t>
            </w:r>
          </w:p>
        </w:tc>
        <w:tc>
          <w:tcPr>
            <w:tcW w:w="1756" w:type="dxa"/>
            <w:gridSpan w:val="3"/>
            <w:tcBorders>
              <w:top w:val="single" w:sz="4" w:space="0" w:color="auto"/>
              <w:left w:val="nil"/>
              <w:bottom w:val="single" w:sz="4" w:space="0" w:color="auto"/>
              <w:right w:val="single" w:sz="4" w:space="0" w:color="auto"/>
            </w:tcBorders>
            <w:tcMar>
              <w:top w:w="15" w:type="dxa"/>
              <w:left w:w="15" w:type="dxa"/>
              <w:right w:w="15" w:type="dxa"/>
            </w:tcMar>
          </w:tcPr>
          <w:p w14:paraId="57024095" w14:textId="7A47BB63" w:rsidR="0E358FE3" w:rsidRDefault="0E358FE3" w:rsidP="00BD7557">
            <w:pPr>
              <w:spacing w:after="0"/>
              <w:jc w:val="center"/>
              <w:rPr>
                <w:rFonts w:ascii="Aptos Narrow" w:eastAsia="Aptos Narrow" w:hAnsi="Aptos Narrow" w:cs="Aptos Narrow"/>
                <w:color w:val="000000" w:themeColor="text1"/>
                <w:sz w:val="22"/>
                <w:szCs w:val="22"/>
              </w:rPr>
            </w:pPr>
            <w:r w:rsidRPr="0E358FE3">
              <w:rPr>
                <w:rFonts w:ascii="Aptos Narrow" w:eastAsia="Aptos Narrow" w:hAnsi="Aptos Narrow" w:cs="Aptos Narrow"/>
                <w:color w:val="000000" w:themeColor="text1"/>
                <w:sz w:val="22"/>
                <w:szCs w:val="22"/>
              </w:rPr>
              <w:t xml:space="preserve">Quality that is recognised internationally in terms of originality, </w:t>
            </w:r>
            <w:proofErr w:type="gramStart"/>
            <w:r w:rsidRPr="0E358FE3">
              <w:rPr>
                <w:rFonts w:ascii="Aptos Narrow" w:eastAsia="Aptos Narrow" w:hAnsi="Aptos Narrow" w:cs="Aptos Narrow"/>
                <w:color w:val="000000" w:themeColor="text1"/>
                <w:sz w:val="22"/>
                <w:szCs w:val="22"/>
              </w:rPr>
              <w:t>significance</w:t>
            </w:r>
            <w:proofErr w:type="gramEnd"/>
            <w:r w:rsidRPr="0E358FE3">
              <w:rPr>
                <w:rFonts w:ascii="Aptos Narrow" w:eastAsia="Aptos Narrow" w:hAnsi="Aptos Narrow" w:cs="Aptos Narrow"/>
                <w:color w:val="000000" w:themeColor="text1"/>
                <w:sz w:val="22"/>
                <w:szCs w:val="22"/>
              </w:rPr>
              <w:t xml:space="preserve"> and rigour.</w:t>
            </w:r>
          </w:p>
        </w:tc>
        <w:tc>
          <w:tcPr>
            <w:tcW w:w="1748" w:type="dxa"/>
            <w:gridSpan w:val="3"/>
            <w:tcBorders>
              <w:top w:val="single" w:sz="4" w:space="0" w:color="auto"/>
              <w:left w:val="nil"/>
              <w:bottom w:val="single" w:sz="4" w:space="0" w:color="auto"/>
              <w:right w:val="single" w:sz="4" w:space="0" w:color="auto"/>
            </w:tcBorders>
            <w:tcMar>
              <w:top w:w="15" w:type="dxa"/>
              <w:left w:w="15" w:type="dxa"/>
              <w:right w:w="15" w:type="dxa"/>
            </w:tcMar>
          </w:tcPr>
          <w:p w14:paraId="27DC6034" w14:textId="22A3FB94" w:rsidR="0E358FE3" w:rsidRDefault="0E358FE3" w:rsidP="00BD7557">
            <w:pPr>
              <w:spacing w:after="0"/>
              <w:jc w:val="center"/>
              <w:rPr>
                <w:rFonts w:ascii="Aptos Narrow" w:eastAsia="Aptos Narrow" w:hAnsi="Aptos Narrow" w:cs="Aptos Narrow"/>
                <w:color w:val="000000" w:themeColor="text1"/>
                <w:sz w:val="22"/>
                <w:szCs w:val="22"/>
              </w:rPr>
            </w:pPr>
            <w:r w:rsidRPr="0E358FE3">
              <w:rPr>
                <w:rFonts w:ascii="Aptos Narrow" w:eastAsia="Aptos Narrow" w:hAnsi="Aptos Narrow" w:cs="Aptos Narrow"/>
                <w:color w:val="000000" w:themeColor="text1"/>
                <w:sz w:val="22"/>
                <w:szCs w:val="22"/>
              </w:rPr>
              <w:t xml:space="preserve">Quality that is recognised nationally in terms of originality, </w:t>
            </w:r>
            <w:proofErr w:type="gramStart"/>
            <w:r w:rsidRPr="0E358FE3">
              <w:rPr>
                <w:rFonts w:ascii="Aptos Narrow" w:eastAsia="Aptos Narrow" w:hAnsi="Aptos Narrow" w:cs="Aptos Narrow"/>
                <w:color w:val="000000" w:themeColor="text1"/>
                <w:sz w:val="22"/>
                <w:szCs w:val="22"/>
              </w:rPr>
              <w:t>significance</w:t>
            </w:r>
            <w:proofErr w:type="gramEnd"/>
            <w:r w:rsidRPr="0E358FE3">
              <w:rPr>
                <w:rFonts w:ascii="Aptos Narrow" w:eastAsia="Aptos Narrow" w:hAnsi="Aptos Narrow" w:cs="Aptos Narrow"/>
                <w:color w:val="000000" w:themeColor="text1"/>
                <w:sz w:val="22"/>
                <w:szCs w:val="22"/>
              </w:rPr>
              <w:t xml:space="preserve"> and rigour.</w:t>
            </w:r>
          </w:p>
        </w:tc>
        <w:tc>
          <w:tcPr>
            <w:tcW w:w="2008" w:type="dxa"/>
            <w:tcBorders>
              <w:top w:val="single" w:sz="4" w:space="0" w:color="auto"/>
              <w:left w:val="nil"/>
              <w:bottom w:val="single" w:sz="4" w:space="0" w:color="auto"/>
              <w:right w:val="single" w:sz="4" w:space="0" w:color="auto"/>
            </w:tcBorders>
            <w:tcMar>
              <w:top w:w="15" w:type="dxa"/>
              <w:left w:w="15" w:type="dxa"/>
              <w:right w:w="15" w:type="dxa"/>
            </w:tcMar>
          </w:tcPr>
          <w:p w14:paraId="36A53317" w14:textId="2D73222C" w:rsidR="0E358FE3" w:rsidRDefault="0E358FE3" w:rsidP="00BD7557">
            <w:pPr>
              <w:spacing w:after="0"/>
              <w:jc w:val="center"/>
              <w:rPr>
                <w:rFonts w:ascii="Aptos Narrow" w:eastAsia="Aptos Narrow" w:hAnsi="Aptos Narrow" w:cs="Aptos Narrow"/>
                <w:color w:val="000000" w:themeColor="text1"/>
                <w:sz w:val="22"/>
                <w:szCs w:val="22"/>
              </w:rPr>
            </w:pPr>
            <w:r w:rsidRPr="0E358FE3">
              <w:rPr>
                <w:rFonts w:ascii="Aptos Narrow" w:eastAsia="Aptos Narrow" w:hAnsi="Aptos Narrow" w:cs="Aptos Narrow"/>
                <w:color w:val="000000" w:themeColor="text1"/>
                <w:sz w:val="22"/>
                <w:szCs w:val="22"/>
              </w:rPr>
              <w:t>Quality that falls below the standard of nationally recognised work. Or work which does not meet the published definition of research for the purposes of this assessment.</w:t>
            </w:r>
          </w:p>
        </w:tc>
      </w:tr>
    </w:tbl>
    <w:p w14:paraId="3C9670FA" w14:textId="5E6C9A73" w:rsidR="0E358FE3" w:rsidRDefault="0E358FE3" w:rsidP="0E358FE3">
      <w:pPr>
        <w:rPr>
          <w:rFonts w:ascii="Calibri" w:hAnsi="Calibri" w:cs="Calibri"/>
        </w:rPr>
      </w:pPr>
    </w:p>
    <w:p w14:paraId="6D657BCE" w14:textId="77777777" w:rsidR="0067734A" w:rsidRDefault="006F2929" w:rsidP="0067734A">
      <w:pPr>
        <w:rPr>
          <w:rFonts w:ascii="Calibri" w:hAnsi="Calibri" w:cs="Calibri"/>
        </w:rPr>
      </w:pPr>
      <w:r>
        <w:rPr>
          <w:rFonts w:ascii="Calibri" w:hAnsi="Calibri" w:cs="Calibri"/>
        </w:rPr>
        <w:lastRenderedPageBreak/>
        <w:t xml:space="preserve">Where there is uncertainty on scores, </w:t>
      </w:r>
      <w:r w:rsidR="00066698">
        <w:rPr>
          <w:rFonts w:ascii="Calibri" w:hAnsi="Calibri" w:cs="Calibri"/>
        </w:rPr>
        <w:t xml:space="preserve">reviewers should mark as </w:t>
      </w:r>
      <w:r w:rsidR="00334FF9">
        <w:rPr>
          <w:rFonts w:ascii="Calibri" w:hAnsi="Calibri" w:cs="Calibri"/>
        </w:rPr>
        <w:t>realistically as possible</w:t>
      </w:r>
      <w:r w:rsidR="00066698">
        <w:rPr>
          <w:rFonts w:ascii="Calibri" w:hAnsi="Calibri" w:cs="Calibri"/>
        </w:rPr>
        <w:t xml:space="preserve"> and include comments. </w:t>
      </w:r>
    </w:p>
    <w:p w14:paraId="68B92E3F" w14:textId="77777777" w:rsidR="00453FA8" w:rsidRDefault="005615EC" w:rsidP="00453FA8">
      <w:pPr>
        <w:pStyle w:val="Heading2"/>
      </w:pPr>
      <w:r>
        <w:t>Guidance</w:t>
      </w:r>
    </w:p>
    <w:p w14:paraId="2880E2D1" w14:textId="581B7E34" w:rsidR="005615EC" w:rsidRPr="00453FA8" w:rsidRDefault="00453FA8" w:rsidP="005615EC">
      <w:r>
        <w:t>G</w:t>
      </w:r>
      <w:r w:rsidR="005615EC" w:rsidRPr="00214444">
        <w:rPr>
          <w:rFonts w:ascii="Calibri" w:hAnsi="Calibri" w:cs="Calibri"/>
        </w:rPr>
        <w:t>uidance</w:t>
      </w:r>
      <w:r>
        <w:rPr>
          <w:rFonts w:ascii="Calibri" w:hAnsi="Calibri" w:cs="Calibri"/>
        </w:rPr>
        <w:t xml:space="preserve"> is available</w:t>
      </w:r>
      <w:r w:rsidR="005615EC" w:rsidRPr="00214444">
        <w:rPr>
          <w:rFonts w:ascii="Calibri" w:hAnsi="Calibri" w:cs="Calibri"/>
        </w:rPr>
        <w:t xml:space="preserve"> for </w:t>
      </w:r>
      <w:r w:rsidR="00FB5F68">
        <w:rPr>
          <w:rFonts w:ascii="Calibri" w:hAnsi="Calibri" w:cs="Calibri"/>
        </w:rPr>
        <w:t xml:space="preserve">proposing, </w:t>
      </w:r>
      <w:proofErr w:type="gramStart"/>
      <w:r w:rsidR="00FB5F68">
        <w:rPr>
          <w:rFonts w:ascii="Calibri" w:hAnsi="Calibri" w:cs="Calibri"/>
        </w:rPr>
        <w:t>assessing</w:t>
      </w:r>
      <w:proofErr w:type="gramEnd"/>
      <w:r w:rsidR="00FB5F68">
        <w:rPr>
          <w:rFonts w:ascii="Calibri" w:hAnsi="Calibri" w:cs="Calibri"/>
        </w:rPr>
        <w:t xml:space="preserve"> and reviewing outputs in </w:t>
      </w:r>
      <w:r w:rsidR="005615EC" w:rsidRPr="00214444">
        <w:rPr>
          <w:rFonts w:ascii="Calibri" w:hAnsi="Calibri" w:cs="Calibri"/>
        </w:rPr>
        <w:t>PURE</w:t>
      </w:r>
      <w:r>
        <w:rPr>
          <w:rFonts w:ascii="Calibri" w:hAnsi="Calibri" w:cs="Calibri"/>
        </w:rPr>
        <w:t xml:space="preserve"> and</w:t>
      </w:r>
      <w:r w:rsidR="005615EC" w:rsidRPr="00214444">
        <w:rPr>
          <w:rFonts w:ascii="Calibri" w:hAnsi="Calibri" w:cs="Calibri"/>
        </w:rPr>
        <w:t xml:space="preserve"> can be found on the RES webpages including a summary of </w:t>
      </w:r>
      <w:r w:rsidR="00214444" w:rsidRPr="00214444">
        <w:rPr>
          <w:rFonts w:ascii="Calibri" w:hAnsi="Calibri" w:cs="Calibri"/>
        </w:rPr>
        <w:t xml:space="preserve">REF 29 </w:t>
      </w:r>
      <w:r>
        <w:rPr>
          <w:rFonts w:ascii="Calibri" w:hAnsi="Calibri" w:cs="Calibri"/>
        </w:rPr>
        <w:t>g</w:t>
      </w:r>
      <w:r w:rsidR="00214444" w:rsidRPr="00214444">
        <w:rPr>
          <w:rFonts w:ascii="Calibri" w:hAnsi="Calibri" w:cs="Calibri"/>
        </w:rPr>
        <w:t xml:space="preserve">uidelines and more information on consultations taking place. </w:t>
      </w:r>
    </w:p>
    <w:sectPr w:rsidR="005615EC" w:rsidRPr="00453FA8" w:rsidSect="00C067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768C4"/>
    <w:multiLevelType w:val="multilevel"/>
    <w:tmpl w:val="BA805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5E38F5"/>
    <w:multiLevelType w:val="multilevel"/>
    <w:tmpl w:val="BA805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A1D1A9D"/>
    <w:multiLevelType w:val="hybridMultilevel"/>
    <w:tmpl w:val="72000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250C8A"/>
    <w:multiLevelType w:val="hybridMultilevel"/>
    <w:tmpl w:val="64D24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2A2878"/>
    <w:multiLevelType w:val="multilevel"/>
    <w:tmpl w:val="BA8054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FD6F14"/>
    <w:multiLevelType w:val="hybridMultilevel"/>
    <w:tmpl w:val="3EE66D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119241C"/>
    <w:multiLevelType w:val="hybridMultilevel"/>
    <w:tmpl w:val="E64ED9C6"/>
    <w:lvl w:ilvl="0" w:tplc="464667B2">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66435E6"/>
    <w:multiLevelType w:val="hybridMultilevel"/>
    <w:tmpl w:val="C932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6B39A4"/>
    <w:multiLevelType w:val="hybridMultilevel"/>
    <w:tmpl w:val="12B89824"/>
    <w:lvl w:ilvl="0" w:tplc="422E465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6070AD"/>
    <w:multiLevelType w:val="hybridMultilevel"/>
    <w:tmpl w:val="E4F64C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9813B15"/>
    <w:multiLevelType w:val="hybridMultilevel"/>
    <w:tmpl w:val="BA6E8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8F691C"/>
    <w:multiLevelType w:val="hybridMultilevel"/>
    <w:tmpl w:val="3D766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3720FF"/>
    <w:multiLevelType w:val="multilevel"/>
    <w:tmpl w:val="306C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832537"/>
    <w:multiLevelType w:val="hybridMultilevel"/>
    <w:tmpl w:val="B6EACFDE"/>
    <w:lvl w:ilvl="0" w:tplc="464667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BD0C7A"/>
    <w:multiLevelType w:val="hybridMultilevel"/>
    <w:tmpl w:val="8AAED13A"/>
    <w:lvl w:ilvl="0" w:tplc="464667B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145771">
    <w:abstractNumId w:val="12"/>
  </w:num>
  <w:num w:numId="2" w16cid:durableId="1382049645">
    <w:abstractNumId w:val="3"/>
  </w:num>
  <w:num w:numId="3" w16cid:durableId="992101237">
    <w:abstractNumId w:val="14"/>
  </w:num>
  <w:num w:numId="4" w16cid:durableId="194732831">
    <w:abstractNumId w:val="13"/>
  </w:num>
  <w:num w:numId="5" w16cid:durableId="49576798">
    <w:abstractNumId w:val="8"/>
  </w:num>
  <w:num w:numId="6" w16cid:durableId="1934169650">
    <w:abstractNumId w:val="6"/>
  </w:num>
  <w:num w:numId="7" w16cid:durableId="2093618002">
    <w:abstractNumId w:val="10"/>
  </w:num>
  <w:num w:numId="8" w16cid:durableId="1110205701">
    <w:abstractNumId w:val="7"/>
  </w:num>
  <w:num w:numId="9" w16cid:durableId="1444307407">
    <w:abstractNumId w:val="5"/>
  </w:num>
  <w:num w:numId="10" w16cid:durableId="8719197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0017499">
    <w:abstractNumId w:val="4"/>
  </w:num>
  <w:num w:numId="12" w16cid:durableId="1957366563">
    <w:abstractNumId w:val="0"/>
  </w:num>
  <w:num w:numId="13" w16cid:durableId="1343163482">
    <w:abstractNumId w:val="2"/>
  </w:num>
  <w:num w:numId="14" w16cid:durableId="1005740191">
    <w:abstractNumId w:val="9"/>
  </w:num>
  <w:num w:numId="15" w16cid:durableId="16237310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465"/>
    <w:rsid w:val="000110B7"/>
    <w:rsid w:val="00014DCE"/>
    <w:rsid w:val="00015A60"/>
    <w:rsid w:val="0001786F"/>
    <w:rsid w:val="00024A42"/>
    <w:rsid w:val="00030371"/>
    <w:rsid w:val="000453E9"/>
    <w:rsid w:val="00046C22"/>
    <w:rsid w:val="000539D0"/>
    <w:rsid w:val="00056AE6"/>
    <w:rsid w:val="00066698"/>
    <w:rsid w:val="00081A99"/>
    <w:rsid w:val="0009112C"/>
    <w:rsid w:val="000E6F0C"/>
    <w:rsid w:val="001033FA"/>
    <w:rsid w:val="0012008B"/>
    <w:rsid w:val="00130D58"/>
    <w:rsid w:val="00155A19"/>
    <w:rsid w:val="001C7D11"/>
    <w:rsid w:val="001D3B9F"/>
    <w:rsid w:val="001E6277"/>
    <w:rsid w:val="00214444"/>
    <w:rsid w:val="00226B28"/>
    <w:rsid w:val="00257F0B"/>
    <w:rsid w:val="002609B7"/>
    <w:rsid w:val="00284650"/>
    <w:rsid w:val="00287F1A"/>
    <w:rsid w:val="002D1F92"/>
    <w:rsid w:val="002E2D17"/>
    <w:rsid w:val="002F4F8F"/>
    <w:rsid w:val="00313374"/>
    <w:rsid w:val="00324886"/>
    <w:rsid w:val="003256F5"/>
    <w:rsid w:val="00334FF9"/>
    <w:rsid w:val="0036140C"/>
    <w:rsid w:val="003972B6"/>
    <w:rsid w:val="003C0BE3"/>
    <w:rsid w:val="003F394E"/>
    <w:rsid w:val="003F63D6"/>
    <w:rsid w:val="004020FE"/>
    <w:rsid w:val="0042171D"/>
    <w:rsid w:val="00421816"/>
    <w:rsid w:val="00433BDD"/>
    <w:rsid w:val="0043456E"/>
    <w:rsid w:val="00453E62"/>
    <w:rsid w:val="00453FA8"/>
    <w:rsid w:val="00457E52"/>
    <w:rsid w:val="004C3274"/>
    <w:rsid w:val="004C4A03"/>
    <w:rsid w:val="00500E9A"/>
    <w:rsid w:val="005233A4"/>
    <w:rsid w:val="00533D8C"/>
    <w:rsid w:val="0054152E"/>
    <w:rsid w:val="00544B7F"/>
    <w:rsid w:val="005570C3"/>
    <w:rsid w:val="005615EC"/>
    <w:rsid w:val="0056298B"/>
    <w:rsid w:val="00564D17"/>
    <w:rsid w:val="00572875"/>
    <w:rsid w:val="0058368A"/>
    <w:rsid w:val="005B44DA"/>
    <w:rsid w:val="005D3B87"/>
    <w:rsid w:val="0062358E"/>
    <w:rsid w:val="00624AA1"/>
    <w:rsid w:val="006274AC"/>
    <w:rsid w:val="00632E1A"/>
    <w:rsid w:val="0063641D"/>
    <w:rsid w:val="0065190F"/>
    <w:rsid w:val="00660BB0"/>
    <w:rsid w:val="0067734A"/>
    <w:rsid w:val="0068100C"/>
    <w:rsid w:val="006810CF"/>
    <w:rsid w:val="00684002"/>
    <w:rsid w:val="006B324F"/>
    <w:rsid w:val="006E143B"/>
    <w:rsid w:val="006E3193"/>
    <w:rsid w:val="006F231C"/>
    <w:rsid w:val="006F2929"/>
    <w:rsid w:val="00710399"/>
    <w:rsid w:val="00713465"/>
    <w:rsid w:val="007146A9"/>
    <w:rsid w:val="0072401A"/>
    <w:rsid w:val="0072517E"/>
    <w:rsid w:val="00772705"/>
    <w:rsid w:val="0077414B"/>
    <w:rsid w:val="007A01BC"/>
    <w:rsid w:val="007C2F24"/>
    <w:rsid w:val="007D59CA"/>
    <w:rsid w:val="00811785"/>
    <w:rsid w:val="00812373"/>
    <w:rsid w:val="00820431"/>
    <w:rsid w:val="00832EE4"/>
    <w:rsid w:val="008518F1"/>
    <w:rsid w:val="0085656E"/>
    <w:rsid w:val="008629C6"/>
    <w:rsid w:val="00863B0F"/>
    <w:rsid w:val="00870A6F"/>
    <w:rsid w:val="00891763"/>
    <w:rsid w:val="0089444A"/>
    <w:rsid w:val="008A2D75"/>
    <w:rsid w:val="008A416E"/>
    <w:rsid w:val="008E3426"/>
    <w:rsid w:val="008F05C6"/>
    <w:rsid w:val="008F7AB1"/>
    <w:rsid w:val="0090033B"/>
    <w:rsid w:val="00942280"/>
    <w:rsid w:val="0096429F"/>
    <w:rsid w:val="00972F27"/>
    <w:rsid w:val="00982F7F"/>
    <w:rsid w:val="009D07D1"/>
    <w:rsid w:val="009D1D08"/>
    <w:rsid w:val="009D364B"/>
    <w:rsid w:val="009E0FC7"/>
    <w:rsid w:val="009F331E"/>
    <w:rsid w:val="009F7212"/>
    <w:rsid w:val="00A1787E"/>
    <w:rsid w:val="00A27580"/>
    <w:rsid w:val="00A4273A"/>
    <w:rsid w:val="00A46380"/>
    <w:rsid w:val="00A5181C"/>
    <w:rsid w:val="00A6229E"/>
    <w:rsid w:val="00A743F1"/>
    <w:rsid w:val="00A77A68"/>
    <w:rsid w:val="00A87B04"/>
    <w:rsid w:val="00AC737C"/>
    <w:rsid w:val="00AC772A"/>
    <w:rsid w:val="00B01436"/>
    <w:rsid w:val="00B113DB"/>
    <w:rsid w:val="00B11FB2"/>
    <w:rsid w:val="00B3160D"/>
    <w:rsid w:val="00B445B6"/>
    <w:rsid w:val="00B560B5"/>
    <w:rsid w:val="00B63748"/>
    <w:rsid w:val="00B90AA9"/>
    <w:rsid w:val="00B92FFC"/>
    <w:rsid w:val="00BA3086"/>
    <w:rsid w:val="00BA45EC"/>
    <w:rsid w:val="00BD7557"/>
    <w:rsid w:val="00BE6E84"/>
    <w:rsid w:val="00C06778"/>
    <w:rsid w:val="00C07444"/>
    <w:rsid w:val="00C1087E"/>
    <w:rsid w:val="00C20919"/>
    <w:rsid w:val="00C23532"/>
    <w:rsid w:val="00C524F9"/>
    <w:rsid w:val="00C73DD8"/>
    <w:rsid w:val="00CA7154"/>
    <w:rsid w:val="00CA792F"/>
    <w:rsid w:val="00CF4595"/>
    <w:rsid w:val="00D20ADC"/>
    <w:rsid w:val="00D35465"/>
    <w:rsid w:val="00D4078F"/>
    <w:rsid w:val="00D52130"/>
    <w:rsid w:val="00D53457"/>
    <w:rsid w:val="00D5561A"/>
    <w:rsid w:val="00D5764C"/>
    <w:rsid w:val="00D622A1"/>
    <w:rsid w:val="00D7155F"/>
    <w:rsid w:val="00D73430"/>
    <w:rsid w:val="00D73559"/>
    <w:rsid w:val="00D77B4E"/>
    <w:rsid w:val="00DA1413"/>
    <w:rsid w:val="00DC7899"/>
    <w:rsid w:val="00DE2660"/>
    <w:rsid w:val="00DE76C6"/>
    <w:rsid w:val="00DE788F"/>
    <w:rsid w:val="00DE7BB6"/>
    <w:rsid w:val="00E10043"/>
    <w:rsid w:val="00E1205E"/>
    <w:rsid w:val="00E233B2"/>
    <w:rsid w:val="00E27139"/>
    <w:rsid w:val="00E418F5"/>
    <w:rsid w:val="00E42709"/>
    <w:rsid w:val="00E451F9"/>
    <w:rsid w:val="00E475E3"/>
    <w:rsid w:val="00E63805"/>
    <w:rsid w:val="00E644E6"/>
    <w:rsid w:val="00E7526C"/>
    <w:rsid w:val="00ED3787"/>
    <w:rsid w:val="00ED63B1"/>
    <w:rsid w:val="00ED6ECC"/>
    <w:rsid w:val="00EE06C9"/>
    <w:rsid w:val="00EE57B4"/>
    <w:rsid w:val="00EF5D47"/>
    <w:rsid w:val="00F37418"/>
    <w:rsid w:val="00F55878"/>
    <w:rsid w:val="00F636B7"/>
    <w:rsid w:val="00F722E1"/>
    <w:rsid w:val="00FB5F68"/>
    <w:rsid w:val="00FC25C5"/>
    <w:rsid w:val="00FE2A18"/>
    <w:rsid w:val="00FE4D7C"/>
    <w:rsid w:val="02C382D5"/>
    <w:rsid w:val="0498FB71"/>
    <w:rsid w:val="0BA141CA"/>
    <w:rsid w:val="0D3D122B"/>
    <w:rsid w:val="0E358FE3"/>
    <w:rsid w:val="0ED8E28C"/>
    <w:rsid w:val="0FE0C231"/>
    <w:rsid w:val="17E9C904"/>
    <w:rsid w:val="1E91C5B7"/>
    <w:rsid w:val="2585510F"/>
    <w:rsid w:val="27310513"/>
    <w:rsid w:val="2B5E679E"/>
    <w:rsid w:val="348F218A"/>
    <w:rsid w:val="37F2C421"/>
    <w:rsid w:val="473C2E2D"/>
    <w:rsid w:val="48EB3040"/>
    <w:rsid w:val="4B38C520"/>
    <w:rsid w:val="4F52C405"/>
    <w:rsid w:val="5342DCD6"/>
    <w:rsid w:val="543E933C"/>
    <w:rsid w:val="549D8628"/>
    <w:rsid w:val="55DA639D"/>
    <w:rsid w:val="5B1D2C85"/>
    <w:rsid w:val="63EB6E09"/>
    <w:rsid w:val="6794454E"/>
    <w:rsid w:val="6C4F585D"/>
    <w:rsid w:val="6C67B671"/>
    <w:rsid w:val="71E96A66"/>
    <w:rsid w:val="755ED094"/>
    <w:rsid w:val="76FAA0F5"/>
    <w:rsid w:val="7E67DF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E4F8"/>
  <w15:chartTrackingRefBased/>
  <w15:docId w15:val="{93E8293D-161F-4FB2-8FBB-57EA7713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4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34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34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134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34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34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4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4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4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4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34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34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134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34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34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34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34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3465"/>
    <w:rPr>
      <w:rFonts w:eastAsiaTheme="majorEastAsia" w:cstheme="majorBidi"/>
      <w:color w:val="272727" w:themeColor="text1" w:themeTint="D8"/>
    </w:rPr>
  </w:style>
  <w:style w:type="paragraph" w:styleId="Title">
    <w:name w:val="Title"/>
    <w:basedOn w:val="Normal"/>
    <w:next w:val="Normal"/>
    <w:link w:val="TitleChar"/>
    <w:uiPriority w:val="10"/>
    <w:qFormat/>
    <w:rsid w:val="007134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4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4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34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3465"/>
    <w:pPr>
      <w:spacing w:before="160"/>
      <w:jc w:val="center"/>
    </w:pPr>
    <w:rPr>
      <w:i/>
      <w:iCs/>
      <w:color w:val="404040" w:themeColor="text1" w:themeTint="BF"/>
    </w:rPr>
  </w:style>
  <w:style w:type="character" w:customStyle="1" w:styleId="QuoteChar">
    <w:name w:val="Quote Char"/>
    <w:basedOn w:val="DefaultParagraphFont"/>
    <w:link w:val="Quote"/>
    <w:uiPriority w:val="29"/>
    <w:rsid w:val="00713465"/>
    <w:rPr>
      <w:i/>
      <w:iCs/>
      <w:color w:val="404040" w:themeColor="text1" w:themeTint="BF"/>
    </w:rPr>
  </w:style>
  <w:style w:type="paragraph" w:styleId="ListParagraph">
    <w:name w:val="List Paragraph"/>
    <w:basedOn w:val="Normal"/>
    <w:uiPriority w:val="34"/>
    <w:qFormat/>
    <w:rsid w:val="00713465"/>
    <w:pPr>
      <w:ind w:left="720"/>
      <w:contextualSpacing/>
    </w:pPr>
  </w:style>
  <w:style w:type="character" w:styleId="IntenseEmphasis">
    <w:name w:val="Intense Emphasis"/>
    <w:basedOn w:val="DefaultParagraphFont"/>
    <w:uiPriority w:val="21"/>
    <w:qFormat/>
    <w:rsid w:val="00713465"/>
    <w:rPr>
      <w:i/>
      <w:iCs/>
      <w:color w:val="0F4761" w:themeColor="accent1" w:themeShade="BF"/>
    </w:rPr>
  </w:style>
  <w:style w:type="paragraph" w:styleId="IntenseQuote">
    <w:name w:val="Intense Quote"/>
    <w:basedOn w:val="Normal"/>
    <w:next w:val="Normal"/>
    <w:link w:val="IntenseQuoteChar"/>
    <w:uiPriority w:val="30"/>
    <w:qFormat/>
    <w:rsid w:val="007134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3465"/>
    <w:rPr>
      <w:i/>
      <w:iCs/>
      <w:color w:val="0F4761" w:themeColor="accent1" w:themeShade="BF"/>
    </w:rPr>
  </w:style>
  <w:style w:type="character" w:styleId="IntenseReference">
    <w:name w:val="Intense Reference"/>
    <w:basedOn w:val="DefaultParagraphFont"/>
    <w:uiPriority w:val="32"/>
    <w:qFormat/>
    <w:rsid w:val="00713465"/>
    <w:rPr>
      <w:b/>
      <w:bCs/>
      <w:smallCaps/>
      <w:color w:val="0F4761" w:themeColor="accent1" w:themeShade="BF"/>
      <w:spacing w:val="5"/>
    </w:rPr>
  </w:style>
  <w:style w:type="paragraph" w:customStyle="1" w:styleId="paragraph">
    <w:name w:val="paragraph"/>
    <w:basedOn w:val="Normal"/>
    <w:rsid w:val="0071346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13465"/>
  </w:style>
  <w:style w:type="character" w:customStyle="1" w:styleId="eop">
    <w:name w:val="eop"/>
    <w:basedOn w:val="DefaultParagraphFont"/>
    <w:rsid w:val="00713465"/>
  </w:style>
  <w:style w:type="paragraph" w:customStyle="1" w:styleId="Default">
    <w:name w:val="Default"/>
    <w:rsid w:val="0058368A"/>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D77B4E"/>
    <w:rPr>
      <w:color w:val="467886" w:themeColor="hyperlink"/>
      <w:u w:val="single"/>
    </w:rPr>
  </w:style>
  <w:style w:type="character" w:styleId="CommentReference">
    <w:name w:val="annotation reference"/>
    <w:basedOn w:val="DefaultParagraphFont"/>
    <w:uiPriority w:val="99"/>
    <w:semiHidden/>
    <w:unhideWhenUsed/>
    <w:rsid w:val="007A01BC"/>
    <w:rPr>
      <w:sz w:val="16"/>
      <w:szCs w:val="16"/>
    </w:rPr>
  </w:style>
  <w:style w:type="paragraph" w:styleId="CommentText">
    <w:name w:val="annotation text"/>
    <w:basedOn w:val="Normal"/>
    <w:link w:val="CommentTextChar"/>
    <w:uiPriority w:val="99"/>
    <w:unhideWhenUsed/>
    <w:rsid w:val="007A01BC"/>
    <w:pPr>
      <w:spacing w:line="240" w:lineRule="auto"/>
    </w:pPr>
    <w:rPr>
      <w:sz w:val="20"/>
      <w:szCs w:val="20"/>
    </w:rPr>
  </w:style>
  <w:style w:type="character" w:customStyle="1" w:styleId="CommentTextChar">
    <w:name w:val="Comment Text Char"/>
    <w:basedOn w:val="DefaultParagraphFont"/>
    <w:link w:val="CommentText"/>
    <w:uiPriority w:val="99"/>
    <w:rsid w:val="007A01BC"/>
    <w:rPr>
      <w:sz w:val="20"/>
      <w:szCs w:val="20"/>
    </w:rPr>
  </w:style>
  <w:style w:type="paragraph" w:styleId="CommentSubject">
    <w:name w:val="annotation subject"/>
    <w:basedOn w:val="CommentText"/>
    <w:next w:val="CommentText"/>
    <w:link w:val="CommentSubjectChar"/>
    <w:uiPriority w:val="99"/>
    <w:semiHidden/>
    <w:unhideWhenUsed/>
    <w:rsid w:val="007A01BC"/>
    <w:rPr>
      <w:b/>
      <w:bCs/>
    </w:rPr>
  </w:style>
  <w:style w:type="character" w:customStyle="1" w:styleId="CommentSubjectChar">
    <w:name w:val="Comment Subject Char"/>
    <w:basedOn w:val="CommentTextChar"/>
    <w:link w:val="CommentSubject"/>
    <w:uiPriority w:val="99"/>
    <w:semiHidden/>
    <w:rsid w:val="007A01BC"/>
    <w:rPr>
      <w:b/>
      <w:bCs/>
      <w:sz w:val="20"/>
      <w:szCs w:val="20"/>
    </w:rPr>
  </w:style>
  <w:style w:type="paragraph" w:styleId="NoSpacing">
    <w:name w:val="No Spacing"/>
    <w:uiPriority w:val="1"/>
    <w:qFormat/>
    <w:rsid w:val="00F55878"/>
    <w:pPr>
      <w:spacing w:after="0" w:line="240" w:lineRule="auto"/>
    </w:pPr>
  </w:style>
  <w:style w:type="paragraph" w:styleId="Revision">
    <w:name w:val="Revision"/>
    <w:hidden/>
    <w:uiPriority w:val="99"/>
    <w:semiHidden/>
    <w:rsid w:val="0036140C"/>
    <w:pPr>
      <w:spacing w:after="0" w:line="240" w:lineRule="auto"/>
    </w:pPr>
  </w:style>
  <w:style w:type="character" w:styleId="UnresolvedMention">
    <w:name w:val="Unresolved Mention"/>
    <w:basedOn w:val="DefaultParagraphFont"/>
    <w:uiPriority w:val="99"/>
    <w:semiHidden/>
    <w:unhideWhenUsed/>
    <w:rsid w:val="00544B7F"/>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01">
    <w:name w:val="cf01"/>
    <w:basedOn w:val="DefaultParagraphFont"/>
    <w:rsid w:val="009F721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18555">
      <w:bodyDiv w:val="1"/>
      <w:marLeft w:val="0"/>
      <w:marRight w:val="0"/>
      <w:marTop w:val="0"/>
      <w:marBottom w:val="0"/>
      <w:divBdr>
        <w:top w:val="none" w:sz="0" w:space="0" w:color="auto"/>
        <w:left w:val="none" w:sz="0" w:space="0" w:color="auto"/>
        <w:bottom w:val="none" w:sz="0" w:space="0" w:color="auto"/>
        <w:right w:val="none" w:sz="0" w:space="0" w:color="auto"/>
      </w:divBdr>
      <w:divsChild>
        <w:div w:id="796489263">
          <w:marLeft w:val="0"/>
          <w:marRight w:val="0"/>
          <w:marTop w:val="0"/>
          <w:marBottom w:val="0"/>
          <w:divBdr>
            <w:top w:val="none" w:sz="0" w:space="0" w:color="auto"/>
            <w:left w:val="none" w:sz="0" w:space="0" w:color="auto"/>
            <w:bottom w:val="none" w:sz="0" w:space="0" w:color="auto"/>
            <w:right w:val="none" w:sz="0" w:space="0" w:color="auto"/>
          </w:divBdr>
        </w:div>
        <w:div w:id="1000543886">
          <w:marLeft w:val="0"/>
          <w:marRight w:val="0"/>
          <w:marTop w:val="0"/>
          <w:marBottom w:val="0"/>
          <w:divBdr>
            <w:top w:val="none" w:sz="0" w:space="0" w:color="auto"/>
            <w:left w:val="none" w:sz="0" w:space="0" w:color="auto"/>
            <w:bottom w:val="none" w:sz="0" w:space="0" w:color="auto"/>
            <w:right w:val="none" w:sz="0" w:space="0" w:color="auto"/>
          </w:divBdr>
        </w:div>
        <w:div w:id="1134829641">
          <w:marLeft w:val="0"/>
          <w:marRight w:val="0"/>
          <w:marTop w:val="0"/>
          <w:marBottom w:val="0"/>
          <w:divBdr>
            <w:top w:val="none" w:sz="0" w:space="0" w:color="auto"/>
            <w:left w:val="none" w:sz="0" w:space="0" w:color="auto"/>
            <w:bottom w:val="none" w:sz="0" w:space="0" w:color="auto"/>
            <w:right w:val="none" w:sz="0" w:space="0" w:color="auto"/>
          </w:divBdr>
        </w:div>
        <w:div w:id="1207333981">
          <w:marLeft w:val="0"/>
          <w:marRight w:val="0"/>
          <w:marTop w:val="0"/>
          <w:marBottom w:val="0"/>
          <w:divBdr>
            <w:top w:val="none" w:sz="0" w:space="0" w:color="auto"/>
            <w:left w:val="none" w:sz="0" w:space="0" w:color="auto"/>
            <w:bottom w:val="none" w:sz="0" w:space="0" w:color="auto"/>
            <w:right w:val="none" w:sz="0" w:space="0" w:color="auto"/>
          </w:divBdr>
          <w:divsChild>
            <w:div w:id="265119594">
              <w:marLeft w:val="0"/>
              <w:marRight w:val="0"/>
              <w:marTop w:val="0"/>
              <w:marBottom w:val="0"/>
              <w:divBdr>
                <w:top w:val="none" w:sz="0" w:space="0" w:color="auto"/>
                <w:left w:val="none" w:sz="0" w:space="0" w:color="auto"/>
                <w:bottom w:val="none" w:sz="0" w:space="0" w:color="auto"/>
                <w:right w:val="none" w:sz="0" w:space="0" w:color="auto"/>
              </w:divBdr>
            </w:div>
            <w:div w:id="382411899">
              <w:marLeft w:val="0"/>
              <w:marRight w:val="0"/>
              <w:marTop w:val="0"/>
              <w:marBottom w:val="0"/>
              <w:divBdr>
                <w:top w:val="none" w:sz="0" w:space="0" w:color="auto"/>
                <w:left w:val="none" w:sz="0" w:space="0" w:color="auto"/>
                <w:bottom w:val="none" w:sz="0" w:space="0" w:color="auto"/>
                <w:right w:val="none" w:sz="0" w:space="0" w:color="auto"/>
              </w:divBdr>
            </w:div>
            <w:div w:id="478696289">
              <w:marLeft w:val="0"/>
              <w:marRight w:val="0"/>
              <w:marTop w:val="0"/>
              <w:marBottom w:val="0"/>
              <w:divBdr>
                <w:top w:val="none" w:sz="0" w:space="0" w:color="auto"/>
                <w:left w:val="none" w:sz="0" w:space="0" w:color="auto"/>
                <w:bottom w:val="none" w:sz="0" w:space="0" w:color="auto"/>
                <w:right w:val="none" w:sz="0" w:space="0" w:color="auto"/>
              </w:divBdr>
            </w:div>
            <w:div w:id="755904932">
              <w:marLeft w:val="0"/>
              <w:marRight w:val="0"/>
              <w:marTop w:val="0"/>
              <w:marBottom w:val="0"/>
              <w:divBdr>
                <w:top w:val="none" w:sz="0" w:space="0" w:color="auto"/>
                <w:left w:val="none" w:sz="0" w:space="0" w:color="auto"/>
                <w:bottom w:val="none" w:sz="0" w:space="0" w:color="auto"/>
                <w:right w:val="none" w:sz="0" w:space="0" w:color="auto"/>
              </w:divBdr>
            </w:div>
            <w:div w:id="1351027982">
              <w:marLeft w:val="0"/>
              <w:marRight w:val="0"/>
              <w:marTop w:val="0"/>
              <w:marBottom w:val="0"/>
              <w:divBdr>
                <w:top w:val="none" w:sz="0" w:space="0" w:color="auto"/>
                <w:left w:val="none" w:sz="0" w:space="0" w:color="auto"/>
                <w:bottom w:val="none" w:sz="0" w:space="0" w:color="auto"/>
                <w:right w:val="none" w:sz="0" w:space="0" w:color="auto"/>
              </w:divBdr>
            </w:div>
            <w:div w:id="1483892098">
              <w:marLeft w:val="0"/>
              <w:marRight w:val="0"/>
              <w:marTop w:val="0"/>
              <w:marBottom w:val="0"/>
              <w:divBdr>
                <w:top w:val="none" w:sz="0" w:space="0" w:color="auto"/>
                <w:left w:val="none" w:sz="0" w:space="0" w:color="auto"/>
                <w:bottom w:val="none" w:sz="0" w:space="0" w:color="auto"/>
                <w:right w:val="none" w:sz="0" w:space="0" w:color="auto"/>
              </w:divBdr>
            </w:div>
            <w:div w:id="1639533650">
              <w:marLeft w:val="0"/>
              <w:marRight w:val="0"/>
              <w:marTop w:val="0"/>
              <w:marBottom w:val="0"/>
              <w:divBdr>
                <w:top w:val="none" w:sz="0" w:space="0" w:color="auto"/>
                <w:left w:val="none" w:sz="0" w:space="0" w:color="auto"/>
                <w:bottom w:val="none" w:sz="0" w:space="0" w:color="auto"/>
                <w:right w:val="none" w:sz="0" w:space="0" w:color="auto"/>
              </w:divBdr>
            </w:div>
            <w:div w:id="1655062684">
              <w:marLeft w:val="0"/>
              <w:marRight w:val="0"/>
              <w:marTop w:val="0"/>
              <w:marBottom w:val="0"/>
              <w:divBdr>
                <w:top w:val="none" w:sz="0" w:space="0" w:color="auto"/>
                <w:left w:val="none" w:sz="0" w:space="0" w:color="auto"/>
                <w:bottom w:val="none" w:sz="0" w:space="0" w:color="auto"/>
                <w:right w:val="none" w:sz="0" w:space="0" w:color="auto"/>
              </w:divBdr>
            </w:div>
            <w:div w:id="1684086235">
              <w:marLeft w:val="0"/>
              <w:marRight w:val="0"/>
              <w:marTop w:val="0"/>
              <w:marBottom w:val="0"/>
              <w:divBdr>
                <w:top w:val="none" w:sz="0" w:space="0" w:color="auto"/>
                <w:left w:val="none" w:sz="0" w:space="0" w:color="auto"/>
                <w:bottom w:val="none" w:sz="0" w:space="0" w:color="auto"/>
                <w:right w:val="none" w:sz="0" w:space="0" w:color="auto"/>
              </w:divBdr>
            </w:div>
            <w:div w:id="17025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9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ncaster.ac.uk/library/open-acc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ancaster.ac.uk/research/support-for-researchers/research-services/research-information--systems/pure/" TargetMode="External"/><Relationship Id="rId5" Type="http://schemas.openxmlformats.org/officeDocument/2006/relationships/hyperlink" Target="https://pure.lancs.ac.uk/workspace/personal/overvie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7172</Characters>
  <Application>Microsoft Office Word</Application>
  <DocSecurity>0</DocSecurity>
  <Lines>59</Lines>
  <Paragraphs>16</Paragraphs>
  <ScaleCrop>false</ScaleCrop>
  <Company/>
  <LinksUpToDate>false</LinksUpToDate>
  <CharactersWithSpaces>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Brace, Helen</dc:creator>
  <cp:keywords/>
  <dc:description/>
  <cp:lastModifiedBy>Brace, Helen</cp:lastModifiedBy>
  <cp:revision>62</cp:revision>
  <dcterms:created xsi:type="dcterms:W3CDTF">2024-05-07T12:33:00Z</dcterms:created>
  <dcterms:modified xsi:type="dcterms:W3CDTF">2024-05-20T11:45:00Z</dcterms:modified>
</cp:coreProperties>
</file>